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6E937" w14:textId="55494DBE" w:rsidR="00B33932" w:rsidRPr="00021B22" w:rsidRDefault="00021B22" w:rsidP="00B33932">
      <w:pPr>
        <w:rPr>
          <w:b/>
          <w:sz w:val="36"/>
          <w:szCs w:val="36"/>
        </w:rPr>
      </w:pPr>
      <w:r>
        <w:rPr>
          <w:b/>
          <w:sz w:val="36"/>
          <w:szCs w:val="36"/>
        </w:rPr>
        <w:t>O</w:t>
      </w:r>
      <w:r w:rsidR="00B33932" w:rsidRPr="00021B22">
        <w:rPr>
          <w:b/>
          <w:sz w:val="36"/>
          <w:szCs w:val="36"/>
        </w:rPr>
        <w:t xml:space="preserve">ptions </w:t>
      </w:r>
      <w:r w:rsidR="001530EC" w:rsidRPr="00021B22">
        <w:rPr>
          <w:b/>
          <w:sz w:val="36"/>
          <w:szCs w:val="36"/>
        </w:rPr>
        <w:t>for public realm improvements to</w:t>
      </w:r>
      <w:r w:rsidR="00B33932" w:rsidRPr="00021B22">
        <w:rPr>
          <w:b/>
          <w:sz w:val="36"/>
          <w:szCs w:val="36"/>
        </w:rPr>
        <w:t xml:space="preserve"> Dame Street as part of the College Green project</w:t>
      </w:r>
      <w:bookmarkStart w:id="0" w:name="_GoBack"/>
      <w:bookmarkEnd w:id="0"/>
    </w:p>
    <w:p w14:paraId="0277A8EC" w14:textId="77777777" w:rsidR="00C316F6" w:rsidRPr="00021B22" w:rsidRDefault="00C316F6" w:rsidP="00C316F6">
      <w:pPr>
        <w:rPr>
          <w:b/>
          <w:sz w:val="28"/>
        </w:rPr>
      </w:pPr>
    </w:p>
    <w:p w14:paraId="3D2B1ECF" w14:textId="4F4418C9" w:rsidR="00C316F6" w:rsidRPr="00021B22" w:rsidRDefault="00C316F6" w:rsidP="00C316F6">
      <w:pPr>
        <w:rPr>
          <w:b/>
          <w:sz w:val="28"/>
        </w:rPr>
      </w:pPr>
      <w:r w:rsidRPr="00021B22">
        <w:rPr>
          <w:b/>
          <w:sz w:val="28"/>
        </w:rPr>
        <w:t>Overview</w:t>
      </w:r>
    </w:p>
    <w:p w14:paraId="3A49BE85" w14:textId="77777777" w:rsidR="00C316F6" w:rsidRPr="00021B22" w:rsidRDefault="00C316F6" w:rsidP="00C316F6">
      <w:r w:rsidRPr="00021B22">
        <w:t xml:space="preserve">Dublin City Council is progressing an ambitious plan to rediscover and reinvent the historic College Green as the major public space at the heart of the city. </w:t>
      </w:r>
    </w:p>
    <w:p w14:paraId="3A1ECD8F" w14:textId="77777777" w:rsidR="00C316F6" w:rsidRPr="00021B22" w:rsidRDefault="00C316F6" w:rsidP="00C316F6">
      <w:proofErr w:type="gramStart"/>
      <w:r w:rsidRPr="00021B22">
        <w:t>Following  the</w:t>
      </w:r>
      <w:proofErr w:type="gramEnd"/>
      <w:r w:rsidRPr="00021B22">
        <w:t xml:space="preserve"> unsuccessful application to An </w:t>
      </w:r>
      <w:proofErr w:type="spellStart"/>
      <w:r w:rsidRPr="00021B22">
        <w:t>Bord</w:t>
      </w:r>
      <w:proofErr w:type="spellEnd"/>
      <w:r w:rsidRPr="00021B22">
        <w:t xml:space="preserve"> </w:t>
      </w:r>
      <w:proofErr w:type="spellStart"/>
      <w:r w:rsidRPr="00021B22">
        <w:t>Pleanála</w:t>
      </w:r>
      <w:proofErr w:type="spellEnd"/>
      <w:r w:rsidRPr="00021B22">
        <w:t xml:space="preserve"> (ABP) in 2018,  Dublin City Council held a series of trial traffic-free events in College Green including Summer Sundays, Culture Night and Car Free day. The lessons learned from these events have guided the Council in both reviewing the previous proposal and in preparing a number of new options.</w:t>
      </w:r>
    </w:p>
    <w:p w14:paraId="4AC0A73D" w14:textId="77777777" w:rsidR="00C316F6" w:rsidRPr="00021B22" w:rsidRDefault="00C316F6" w:rsidP="00C316F6">
      <w:r w:rsidRPr="00021B22">
        <w:t>More recently, the Covid-19 pandemic has served to reiterate the importance of pedestrian friendly outdoor public open spaces to the ongoing vitality, economy and health of the city.</w:t>
      </w:r>
    </w:p>
    <w:p w14:paraId="5BDCA327" w14:textId="4D7FBC7F" w:rsidR="00C316F6" w:rsidRPr="00021B22" w:rsidRDefault="00C316F6" w:rsidP="00C316F6">
      <w:r w:rsidRPr="00021B22">
        <w:t>In September 2020, the National Transport Authority published the final version of the Bus Connects Network Redesign which proposes to significantly reduce the numbers of routes and buses in the College Green area. In addition the Bus Connects Network Redesign includes an option and a network map with buses rerouted out o</w:t>
      </w:r>
      <w:r w:rsidR="007016B0" w:rsidRPr="00021B22">
        <w:t xml:space="preserve">f College Green and Dame Street (between </w:t>
      </w:r>
      <w:proofErr w:type="spellStart"/>
      <w:r w:rsidR="007016B0" w:rsidRPr="00021B22">
        <w:t>Anglesea</w:t>
      </w:r>
      <w:proofErr w:type="spellEnd"/>
      <w:r w:rsidR="007016B0" w:rsidRPr="00021B22">
        <w:t xml:space="preserve"> Street and South Great George’s Street</w:t>
      </w:r>
      <w:r w:rsidRPr="00021B22">
        <w:t>). As the relocation of bus routes and bus stops was a significant issue in the 2018 College Green planning decision, the Council is being informed by the Bus Connects Network Redesign in further developing proposals for the area.</w:t>
      </w:r>
    </w:p>
    <w:p w14:paraId="3A6C00C3" w14:textId="7CF74EEE" w:rsidR="00C316F6" w:rsidRPr="00021B22" w:rsidRDefault="00C316F6" w:rsidP="00C316F6">
      <w:r w:rsidRPr="00021B22">
        <w:t>The remo</w:t>
      </w:r>
      <w:r w:rsidR="00021B22" w:rsidRPr="00021B22">
        <w:t>val of buses from this area as part of the Bus Connects Network, once College Green is traffic free</w:t>
      </w:r>
      <w:proofErr w:type="gramStart"/>
      <w:r w:rsidR="00021B22" w:rsidRPr="00021B22">
        <w:t>,  would</w:t>
      </w:r>
      <w:proofErr w:type="gramEnd"/>
      <w:r w:rsidR="00021B22" w:rsidRPr="00021B22">
        <w:t xml:space="preserve"> create</w:t>
      </w:r>
      <w:r w:rsidRPr="00021B22">
        <w:t xml:space="preserve"> an opportunity to significantly improve</w:t>
      </w:r>
      <w:r w:rsidR="007016B0" w:rsidRPr="00021B22">
        <w:t xml:space="preserve"> the public realm along Dame Street</w:t>
      </w:r>
      <w:r w:rsidRPr="00021B22">
        <w:t xml:space="preserve"> </w:t>
      </w:r>
      <w:r w:rsidR="007016B0" w:rsidRPr="00021B22">
        <w:t xml:space="preserve">between South Great George’s Street and </w:t>
      </w:r>
      <w:proofErr w:type="spellStart"/>
      <w:r w:rsidR="007016B0" w:rsidRPr="00021B22">
        <w:t>Anglesea</w:t>
      </w:r>
      <w:proofErr w:type="spellEnd"/>
      <w:r w:rsidR="007016B0" w:rsidRPr="00021B22">
        <w:t xml:space="preserve"> Street</w:t>
      </w:r>
      <w:r w:rsidRPr="00021B22">
        <w:t>, as part of the College Green Plaza project.</w:t>
      </w:r>
    </w:p>
    <w:p w14:paraId="03173141" w14:textId="4398074D" w:rsidR="00317223" w:rsidRPr="00021B22" w:rsidRDefault="00317223">
      <w:pPr>
        <w:rPr>
          <w:b/>
        </w:rPr>
      </w:pPr>
    </w:p>
    <w:p w14:paraId="2BC9339A" w14:textId="77777777" w:rsidR="008A25FD" w:rsidRPr="00021B22" w:rsidRDefault="008A25FD">
      <w:pPr>
        <w:rPr>
          <w:b/>
          <w:sz w:val="28"/>
          <w:szCs w:val="28"/>
        </w:rPr>
      </w:pPr>
      <w:r w:rsidRPr="00021B22">
        <w:rPr>
          <w:b/>
          <w:sz w:val="28"/>
          <w:szCs w:val="28"/>
        </w:rPr>
        <w:t>Bus Connects Network Redesign</w:t>
      </w:r>
    </w:p>
    <w:p w14:paraId="60CD5C22" w14:textId="77777777" w:rsidR="005C550C" w:rsidRPr="00021B22" w:rsidRDefault="0074049B" w:rsidP="00B33932">
      <w:r w:rsidRPr="00021B22">
        <w:t>In September 2020, the National Transport Authority (NTA) published t</w:t>
      </w:r>
      <w:r w:rsidR="002F2424" w:rsidRPr="00021B22">
        <w:t xml:space="preserve">he final version of the Bus Connects Network </w:t>
      </w:r>
      <w:proofErr w:type="gramStart"/>
      <w:r w:rsidR="002F2424" w:rsidRPr="00021B22">
        <w:t xml:space="preserve">Redesign </w:t>
      </w:r>
      <w:r w:rsidR="00B33932" w:rsidRPr="00021B22">
        <w:t xml:space="preserve"> </w:t>
      </w:r>
      <w:proofErr w:type="gramEnd"/>
      <w:r w:rsidR="00321275" w:rsidRPr="00021B22">
        <w:fldChar w:fldCharType="begin"/>
      </w:r>
      <w:r w:rsidR="00321275" w:rsidRPr="00021B22">
        <w:instrText xml:space="preserve"> HYPERLINK "https://busconnects.ie/initiatives/new-dublin-area-bus-network/" </w:instrText>
      </w:r>
      <w:r w:rsidR="00321275" w:rsidRPr="00021B22">
        <w:fldChar w:fldCharType="separate"/>
      </w:r>
      <w:r w:rsidR="00B33932" w:rsidRPr="00021B22">
        <w:rPr>
          <w:rStyle w:val="Hyperlink"/>
          <w:color w:val="auto"/>
        </w:rPr>
        <w:t>https://busconnects.ie/initiatives/new-dublin-area-bus-network/</w:t>
      </w:r>
      <w:r w:rsidR="00321275" w:rsidRPr="00021B22">
        <w:rPr>
          <w:rStyle w:val="Hyperlink"/>
          <w:color w:val="auto"/>
        </w:rPr>
        <w:fldChar w:fldCharType="end"/>
      </w:r>
      <w:r w:rsidR="00B33932" w:rsidRPr="00021B22">
        <w:t xml:space="preserve"> </w:t>
      </w:r>
      <w:r w:rsidR="002F2424" w:rsidRPr="00021B22">
        <w:t xml:space="preserve">which </w:t>
      </w:r>
      <w:r w:rsidRPr="00021B22">
        <w:t xml:space="preserve">proposes to </w:t>
      </w:r>
      <w:r w:rsidR="002F2424" w:rsidRPr="00021B22">
        <w:t>significantly</w:t>
      </w:r>
      <w:r w:rsidR="00486D10" w:rsidRPr="00021B22">
        <w:t xml:space="preserve"> reduce</w:t>
      </w:r>
      <w:r w:rsidR="005C550C" w:rsidRPr="00021B22">
        <w:t xml:space="preserve"> the numbers of</w:t>
      </w:r>
      <w:r w:rsidR="00486D10" w:rsidRPr="00021B22">
        <w:t xml:space="preserve"> routes </w:t>
      </w:r>
      <w:r w:rsidRPr="00021B22">
        <w:t xml:space="preserve">and </w:t>
      </w:r>
      <w:r w:rsidR="00486D10" w:rsidRPr="00021B22">
        <w:t>buses in</w:t>
      </w:r>
      <w:r w:rsidR="00F71030" w:rsidRPr="00021B22">
        <w:t xml:space="preserve"> the</w:t>
      </w:r>
      <w:r w:rsidR="00486D10" w:rsidRPr="00021B22">
        <w:t xml:space="preserve"> </w:t>
      </w:r>
      <w:r w:rsidR="002F2424" w:rsidRPr="00021B22">
        <w:t>College</w:t>
      </w:r>
      <w:r w:rsidR="00486D10" w:rsidRPr="00021B22">
        <w:t xml:space="preserve"> Green area</w:t>
      </w:r>
      <w:r w:rsidR="00F71030" w:rsidRPr="00021B22">
        <w:t xml:space="preserve">. </w:t>
      </w:r>
    </w:p>
    <w:p w14:paraId="4154763E" w14:textId="77777777" w:rsidR="005C550C" w:rsidRPr="00021B22" w:rsidRDefault="005C550C"/>
    <w:p w14:paraId="604905F5" w14:textId="77777777" w:rsidR="00B33932" w:rsidRPr="00021B22" w:rsidRDefault="00B33932" w:rsidP="00B33932">
      <w:pPr>
        <w:keepNext/>
      </w:pPr>
      <w:r w:rsidRPr="00021B22">
        <w:rPr>
          <w:noProof/>
          <w:lang w:eastAsia="en-IE"/>
        </w:rPr>
        <w:lastRenderedPageBreak/>
        <w:drawing>
          <wp:inline distT="0" distB="0" distL="0" distR="0" wp14:anchorId="2CBBBCA4" wp14:editId="39409860">
            <wp:extent cx="5731510" cy="3300730"/>
            <wp:effectExtent l="19050" t="19050" r="2159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300730"/>
                    </a:xfrm>
                    <a:prstGeom prst="rect">
                      <a:avLst/>
                    </a:prstGeom>
                    <a:ln>
                      <a:solidFill>
                        <a:schemeClr val="tx1"/>
                      </a:solidFill>
                    </a:ln>
                  </pic:spPr>
                </pic:pic>
              </a:graphicData>
            </a:graphic>
          </wp:inline>
        </w:drawing>
      </w:r>
    </w:p>
    <w:p w14:paraId="6C76753F" w14:textId="0D57CC1A" w:rsidR="002F2424" w:rsidRPr="00021B22" w:rsidRDefault="00B33932" w:rsidP="00B33932">
      <w:pPr>
        <w:pStyle w:val="Caption"/>
        <w:rPr>
          <w:color w:val="auto"/>
        </w:rPr>
      </w:pPr>
      <w:r w:rsidRPr="00021B22">
        <w:rPr>
          <w:color w:val="auto"/>
        </w:rPr>
        <w:t xml:space="preserve">Figure </w:t>
      </w:r>
      <w:r w:rsidR="00021B22" w:rsidRPr="00021B22">
        <w:rPr>
          <w:color w:val="auto"/>
        </w:rPr>
        <w:fldChar w:fldCharType="begin"/>
      </w:r>
      <w:r w:rsidR="00021B22" w:rsidRPr="00021B22">
        <w:rPr>
          <w:color w:val="auto"/>
        </w:rPr>
        <w:instrText xml:space="preserve"> SEQ Figure \* ARABIC </w:instrText>
      </w:r>
      <w:r w:rsidR="00021B22" w:rsidRPr="00021B22">
        <w:rPr>
          <w:color w:val="auto"/>
        </w:rPr>
        <w:fldChar w:fldCharType="separate"/>
      </w:r>
      <w:r w:rsidR="00DC4A9E" w:rsidRPr="00021B22">
        <w:rPr>
          <w:noProof/>
          <w:color w:val="auto"/>
        </w:rPr>
        <w:t>1</w:t>
      </w:r>
      <w:r w:rsidR="00021B22" w:rsidRPr="00021B22">
        <w:rPr>
          <w:noProof/>
          <w:color w:val="auto"/>
        </w:rPr>
        <w:fldChar w:fldCharType="end"/>
      </w:r>
      <w:r w:rsidRPr="00021B22">
        <w:rPr>
          <w:color w:val="auto"/>
        </w:rPr>
        <w:t xml:space="preserve"> Bus Connects Redesign Network Map - substantially reduced numbers of buses in College Green</w:t>
      </w:r>
    </w:p>
    <w:p w14:paraId="177CEBA6" w14:textId="77777777" w:rsidR="00B33932" w:rsidRPr="00021B22" w:rsidRDefault="00B33932"/>
    <w:p w14:paraId="2E68F93A" w14:textId="79E40C45" w:rsidR="00B33932" w:rsidRPr="00021B22" w:rsidRDefault="00B33932" w:rsidP="00B33932">
      <w:r w:rsidRPr="00021B22">
        <w:t>In addition the Bus Connects Network Redesign includes an option and a network map with buses rerouted o</w:t>
      </w:r>
      <w:r w:rsidR="007016B0" w:rsidRPr="00021B22">
        <w:t xml:space="preserve">ut of College Green and Dame Street (between </w:t>
      </w:r>
      <w:proofErr w:type="spellStart"/>
      <w:r w:rsidR="007016B0" w:rsidRPr="00021B22">
        <w:t>Anglesea</w:t>
      </w:r>
      <w:proofErr w:type="spellEnd"/>
      <w:r w:rsidR="007016B0" w:rsidRPr="00021B22">
        <w:t xml:space="preserve"> Street and South Great George’s Street</w:t>
      </w:r>
      <w:r w:rsidRPr="00021B22">
        <w:t>).</w:t>
      </w:r>
    </w:p>
    <w:p w14:paraId="0C2DE936" w14:textId="77777777" w:rsidR="00B33932" w:rsidRPr="00021B22" w:rsidRDefault="00B33932" w:rsidP="00B33932"/>
    <w:p w14:paraId="58586680" w14:textId="77777777" w:rsidR="00B33932" w:rsidRPr="00021B22" w:rsidRDefault="00B33932" w:rsidP="00B33932">
      <w:pPr>
        <w:keepNext/>
      </w:pPr>
      <w:r w:rsidRPr="00021B22">
        <w:rPr>
          <w:noProof/>
          <w:lang w:eastAsia="en-IE"/>
        </w:rPr>
        <w:drawing>
          <wp:inline distT="0" distB="0" distL="0" distR="0" wp14:anchorId="7E226892" wp14:editId="0912B71B">
            <wp:extent cx="5731510" cy="2940685"/>
            <wp:effectExtent l="19050" t="19050" r="2159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491"/>
                    <a:stretch/>
                  </pic:blipFill>
                  <pic:spPr bwMode="auto">
                    <a:xfrm>
                      <a:off x="0" y="0"/>
                      <a:ext cx="5731510" cy="29406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612AF2" w14:textId="317FEA4D" w:rsidR="00B33932" w:rsidRPr="00021B22" w:rsidRDefault="00B33932" w:rsidP="00B33932">
      <w:pPr>
        <w:pStyle w:val="Caption"/>
        <w:rPr>
          <w:color w:val="auto"/>
        </w:rPr>
      </w:pPr>
      <w:r w:rsidRPr="00021B22">
        <w:rPr>
          <w:color w:val="auto"/>
        </w:rPr>
        <w:t xml:space="preserve">Figure </w:t>
      </w:r>
      <w:r w:rsidR="00021B22" w:rsidRPr="00021B22">
        <w:rPr>
          <w:color w:val="auto"/>
        </w:rPr>
        <w:fldChar w:fldCharType="begin"/>
      </w:r>
      <w:r w:rsidR="00021B22" w:rsidRPr="00021B22">
        <w:rPr>
          <w:color w:val="auto"/>
        </w:rPr>
        <w:instrText xml:space="preserve"> SEQ Figure \* ARABIC </w:instrText>
      </w:r>
      <w:r w:rsidR="00021B22" w:rsidRPr="00021B22">
        <w:rPr>
          <w:color w:val="auto"/>
        </w:rPr>
        <w:fldChar w:fldCharType="separate"/>
      </w:r>
      <w:r w:rsidR="00DC4A9E" w:rsidRPr="00021B22">
        <w:rPr>
          <w:noProof/>
          <w:color w:val="auto"/>
        </w:rPr>
        <w:t>2</w:t>
      </w:r>
      <w:r w:rsidR="00021B22" w:rsidRPr="00021B22">
        <w:rPr>
          <w:noProof/>
          <w:color w:val="auto"/>
        </w:rPr>
        <w:fldChar w:fldCharType="end"/>
      </w:r>
      <w:r w:rsidRPr="00021B22">
        <w:rPr>
          <w:color w:val="auto"/>
        </w:rPr>
        <w:t xml:space="preserve"> Bus Connects Redesign Network Map – option with buses rerouted out of College Green and Dame St</w:t>
      </w:r>
      <w:r w:rsidR="007016B0" w:rsidRPr="00021B22">
        <w:rPr>
          <w:color w:val="auto"/>
        </w:rPr>
        <w:t>reet</w:t>
      </w:r>
      <w:r w:rsidRPr="00021B22">
        <w:rPr>
          <w:color w:val="auto"/>
        </w:rPr>
        <w:t xml:space="preserve"> </w:t>
      </w:r>
    </w:p>
    <w:p w14:paraId="74B955B6" w14:textId="77777777" w:rsidR="00B33932" w:rsidRPr="00021B22" w:rsidRDefault="00B33932" w:rsidP="00B33932"/>
    <w:p w14:paraId="051A121E" w14:textId="77777777" w:rsidR="00B33932" w:rsidRPr="00021B22" w:rsidRDefault="00B33932" w:rsidP="00B33932">
      <w:r w:rsidRPr="00021B22">
        <w:lastRenderedPageBreak/>
        <w:t>The rerouting of these buses out of College Green had been one of the major reasons for the unsuccessful planning application for the College Green Civic Plaza project in 2017.</w:t>
      </w:r>
    </w:p>
    <w:p w14:paraId="5435CB0F" w14:textId="77777777" w:rsidR="00B33932" w:rsidRPr="00021B22" w:rsidRDefault="00B33932"/>
    <w:p w14:paraId="2EBBE733" w14:textId="77777777" w:rsidR="00B33932" w:rsidRPr="00021B22" w:rsidRDefault="00B33932"/>
    <w:p w14:paraId="79A166D1" w14:textId="1B5F03EA" w:rsidR="00D07502" w:rsidRPr="00021B22" w:rsidRDefault="00D07502" w:rsidP="00B33932">
      <w:pPr>
        <w:rPr>
          <w:b/>
        </w:rPr>
      </w:pPr>
      <w:r w:rsidRPr="00021B22">
        <w:rPr>
          <w:b/>
        </w:rPr>
        <w:t>Implicatio</w:t>
      </w:r>
      <w:r w:rsidR="006E6DB1" w:rsidRPr="00021B22">
        <w:rPr>
          <w:b/>
        </w:rPr>
        <w:t>ns of the Bus Connects Network R</w:t>
      </w:r>
      <w:r w:rsidRPr="00021B22">
        <w:rPr>
          <w:b/>
        </w:rPr>
        <w:t>edesign on proposals for College Green Plaza</w:t>
      </w:r>
    </w:p>
    <w:p w14:paraId="3FF25138" w14:textId="4A893A30" w:rsidR="006B48EC" w:rsidRPr="00021B22" w:rsidRDefault="006E3A13">
      <w:r w:rsidRPr="00021B22">
        <w:t>The option in the BusConnects Network Redesign to reroute buses o</w:t>
      </w:r>
      <w:r w:rsidR="007016B0" w:rsidRPr="00021B22">
        <w:t>ut of College Green and Dame Street</w:t>
      </w:r>
      <w:r w:rsidRPr="00021B22">
        <w:t xml:space="preserve"> (between </w:t>
      </w:r>
      <w:proofErr w:type="spellStart"/>
      <w:r w:rsidRPr="00021B22">
        <w:t>Anglesea</w:t>
      </w:r>
      <w:proofErr w:type="spellEnd"/>
      <w:r w:rsidR="007016B0" w:rsidRPr="00021B22">
        <w:t xml:space="preserve"> Street and South Great George’s Street</w:t>
      </w:r>
      <w:r w:rsidRPr="00021B22">
        <w:t xml:space="preserve">) means that there is an opportunity to provide a pedestrian plaza to College Green, once it is closed to vehicular traffic. In addition, this option </w:t>
      </w:r>
      <w:r w:rsidR="00E00EB9" w:rsidRPr="00021B22">
        <w:t xml:space="preserve">also </w:t>
      </w:r>
      <w:r w:rsidRPr="00021B22">
        <w:t xml:space="preserve">removes the </w:t>
      </w:r>
      <w:r w:rsidR="00605AF9" w:rsidRPr="00021B22">
        <w:t>provision</w:t>
      </w:r>
      <w:r w:rsidRPr="00021B22">
        <w:t xml:space="preserve"> </w:t>
      </w:r>
      <w:r w:rsidR="00605AF9" w:rsidRPr="00021B22">
        <w:t xml:space="preserve">of </w:t>
      </w:r>
      <w:r w:rsidRPr="00021B22">
        <w:t xml:space="preserve">a turning circle for buses immediately west of Church Lane, thus facilitating </w:t>
      </w:r>
      <w:r w:rsidR="009014F7" w:rsidRPr="00021B22">
        <w:t>the</w:t>
      </w:r>
      <w:r w:rsidRPr="00021B22">
        <w:t xml:space="preserve"> extension </w:t>
      </w:r>
      <w:r w:rsidR="00D4245D" w:rsidRPr="00021B22">
        <w:t xml:space="preserve">and enlargement </w:t>
      </w:r>
      <w:r w:rsidR="009014F7" w:rsidRPr="00021B22">
        <w:t xml:space="preserve">of the </w:t>
      </w:r>
      <w:r w:rsidR="00D23D99" w:rsidRPr="00021B22">
        <w:t xml:space="preserve">pedestrianised </w:t>
      </w:r>
      <w:r w:rsidR="0009242A" w:rsidRPr="00021B22">
        <w:t>p</w:t>
      </w:r>
      <w:r w:rsidR="009014F7" w:rsidRPr="00021B22">
        <w:t xml:space="preserve">laza </w:t>
      </w:r>
      <w:r w:rsidRPr="00021B22">
        <w:t xml:space="preserve">further west as far as </w:t>
      </w:r>
      <w:proofErr w:type="spellStart"/>
      <w:r w:rsidRPr="00021B22">
        <w:t>Anglesea</w:t>
      </w:r>
      <w:proofErr w:type="spellEnd"/>
      <w:r w:rsidRPr="00021B22">
        <w:t xml:space="preserve"> St</w:t>
      </w:r>
      <w:r w:rsidR="007016B0" w:rsidRPr="00021B22">
        <w:t>reet.</w:t>
      </w:r>
      <w:r w:rsidR="00FE2474" w:rsidRPr="00021B22">
        <w:t xml:space="preserve"> </w:t>
      </w:r>
      <w:r w:rsidR="00AB60E7" w:rsidRPr="00021B22">
        <w:t>A two</w:t>
      </w:r>
      <w:r w:rsidR="00FA0AAA" w:rsidRPr="00021B22">
        <w:t>–way cycle route would still be retained as part of the proposals.</w:t>
      </w:r>
      <w:r w:rsidR="00FE2474" w:rsidRPr="00021B22">
        <w:t xml:space="preserve"> </w:t>
      </w:r>
    </w:p>
    <w:p w14:paraId="4E229D65" w14:textId="77777777" w:rsidR="00B33932" w:rsidRPr="00021B22" w:rsidRDefault="002829A8" w:rsidP="00B33932">
      <w:pPr>
        <w:keepNext/>
      </w:pPr>
      <w:r w:rsidRPr="00021B22">
        <w:rPr>
          <w:noProof/>
          <w:lang w:eastAsia="en-IE"/>
        </w:rPr>
        <mc:AlternateContent>
          <mc:Choice Requires="wps">
            <w:drawing>
              <wp:anchor distT="0" distB="0" distL="114300" distR="114300" simplePos="0" relativeHeight="251667456" behindDoc="0" locked="0" layoutInCell="1" allowOverlap="1" wp14:anchorId="2E074945" wp14:editId="6892BA53">
                <wp:simplePos x="0" y="0"/>
                <wp:positionH relativeFrom="margin">
                  <wp:posOffset>856629</wp:posOffset>
                </wp:positionH>
                <wp:positionV relativeFrom="paragraph">
                  <wp:posOffset>232589</wp:posOffset>
                </wp:positionV>
                <wp:extent cx="894627" cy="291882"/>
                <wp:effectExtent l="34607" t="22543" r="35878" b="16827"/>
                <wp:wrapNone/>
                <wp:docPr id="11" name="Text Box 11"/>
                <wp:cNvGraphicFramePr/>
                <a:graphic xmlns:a="http://schemas.openxmlformats.org/drawingml/2006/main">
                  <a:graphicData uri="http://schemas.microsoft.com/office/word/2010/wordprocessingShape">
                    <wps:wsp>
                      <wps:cNvSpPr txBox="1"/>
                      <wps:spPr>
                        <a:xfrm rot="5197527">
                          <a:off x="0" y="0"/>
                          <a:ext cx="894627" cy="291882"/>
                        </a:xfrm>
                        <a:prstGeom prst="rect">
                          <a:avLst/>
                        </a:prstGeom>
                        <a:solidFill>
                          <a:schemeClr val="lt1"/>
                        </a:solidFill>
                        <a:ln w="6350">
                          <a:noFill/>
                        </a:ln>
                      </wps:spPr>
                      <wps:txbx>
                        <w:txbxContent>
                          <w:p w14:paraId="1B2BEB98" w14:textId="77777777" w:rsidR="002829A8" w:rsidRPr="002829A8" w:rsidRDefault="002829A8" w:rsidP="002829A8">
                            <w:pPr>
                              <w:rPr>
                                <w:sz w:val="16"/>
                              </w:rPr>
                            </w:pPr>
                            <w:proofErr w:type="spellStart"/>
                            <w:r w:rsidRPr="002829A8">
                              <w:rPr>
                                <w:sz w:val="16"/>
                              </w:rPr>
                              <w:t>Anglesea</w:t>
                            </w:r>
                            <w:proofErr w:type="spellEnd"/>
                            <w:r w:rsidRPr="002829A8">
                              <w:rPr>
                                <w:sz w:val="16"/>
                              </w:rPr>
                              <w:t xml:space="preserve">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74945" id="_x0000_t202" coordsize="21600,21600" o:spt="202" path="m,l,21600r21600,l21600,xe">
                <v:stroke joinstyle="miter"/>
                <v:path gradientshapeok="t" o:connecttype="rect"/>
              </v:shapetype>
              <v:shape id="Text Box 11" o:spid="_x0000_s1026" type="#_x0000_t202" style="position:absolute;margin-left:67.45pt;margin-top:18.3pt;width:70.45pt;height:23pt;rotation:5677085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" fillcolor="white [3201]" stroked="f" strokeweight=".5pt">
                <v:textbox>
                  <w:txbxContent>
                    <w:p w14:paraId="1B2BEB98" w14:textId="77777777" w:rsidR="002829A8" w:rsidRPr="002829A8" w:rsidRDefault="002829A8" w:rsidP="002829A8">
                      <w:pPr>
                        <w:rPr>
                          <w:sz w:val="16"/>
                        </w:rPr>
                      </w:pPr>
                      <w:proofErr w:type="spellStart"/>
                      <w:r w:rsidRPr="002829A8">
                        <w:rPr>
                          <w:sz w:val="16"/>
                        </w:rPr>
                        <w:t>Anglesea</w:t>
                      </w:r>
                      <w:proofErr w:type="spellEnd"/>
                      <w:r w:rsidRPr="002829A8">
                        <w:rPr>
                          <w:sz w:val="16"/>
                        </w:rPr>
                        <w:t xml:space="preserve"> Street</w:t>
                      </w:r>
                    </w:p>
                  </w:txbxContent>
                </v:textbox>
                <w10:wrap anchorx="margin"/>
              </v:shape>
            </w:pict>
          </mc:Fallback>
        </mc:AlternateContent>
      </w:r>
      <w:r w:rsidRPr="00021B22">
        <w:rPr>
          <w:noProof/>
          <w:lang w:eastAsia="en-IE"/>
        </w:rPr>
        <mc:AlternateContent>
          <mc:Choice Requires="wps">
            <w:drawing>
              <wp:anchor distT="0" distB="0" distL="114300" distR="114300" simplePos="0" relativeHeight="251663360" behindDoc="0" locked="0" layoutInCell="1" allowOverlap="1" wp14:anchorId="6002EF52" wp14:editId="6BA40F94">
                <wp:simplePos x="0" y="0"/>
                <wp:positionH relativeFrom="column">
                  <wp:posOffset>94670</wp:posOffset>
                </wp:positionH>
                <wp:positionV relativeFrom="paragraph">
                  <wp:posOffset>983781</wp:posOffset>
                </wp:positionV>
                <wp:extent cx="1438965" cy="652007"/>
                <wp:effectExtent l="0" t="0" r="27940" b="15240"/>
                <wp:wrapNone/>
                <wp:docPr id="9" name="Text Box 9"/>
                <wp:cNvGraphicFramePr/>
                <a:graphic xmlns:a="http://schemas.openxmlformats.org/drawingml/2006/main">
                  <a:graphicData uri="http://schemas.microsoft.com/office/word/2010/wordprocessingShape">
                    <wps:wsp>
                      <wps:cNvSpPr txBox="1"/>
                      <wps:spPr>
                        <a:xfrm>
                          <a:off x="0" y="0"/>
                          <a:ext cx="1438965" cy="652007"/>
                        </a:xfrm>
                        <a:prstGeom prst="rect">
                          <a:avLst/>
                        </a:prstGeom>
                        <a:solidFill>
                          <a:schemeClr val="lt1"/>
                        </a:solidFill>
                        <a:ln w="6350">
                          <a:solidFill>
                            <a:prstClr val="black"/>
                          </a:solidFill>
                        </a:ln>
                      </wps:spPr>
                      <wps:txbx>
                        <w:txbxContent>
                          <w:p w14:paraId="53B6A11A" w14:textId="77777777" w:rsidR="002829A8" w:rsidRDefault="002829A8" w:rsidP="002829A8">
                            <w:r>
                              <w:t>Space required to facilitate bus turning movements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EF52" id="Text Box 9" o:spid="_x0000_s1027" type="#_x0000_t202" style="position:absolute;margin-left:7.45pt;margin-top:77.45pt;width:113.3pt;height:5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" fillcolor="white [3201]" strokeweight=".5pt">
                <v:textbox>
                  <w:txbxContent>
                    <w:p w14:paraId="53B6A11A" w14:textId="77777777" w:rsidR="002829A8" w:rsidRDefault="002829A8" w:rsidP="002829A8">
                      <w:r>
                        <w:t>Space required to facilitate bus turning movements</w:t>
                      </w:r>
                    </w:p>
                  </w:txbxContent>
                </v:textbox>
              </v:shape>
            </w:pict>
          </mc:Fallback>
        </mc:AlternateContent>
      </w:r>
      <w:r w:rsidRPr="00021B22">
        <w:rPr>
          <w:noProof/>
          <w:lang w:eastAsia="en-IE"/>
        </w:rPr>
        <mc:AlternateContent>
          <mc:Choice Requires="wps">
            <w:drawing>
              <wp:anchor distT="0" distB="0" distL="114300" distR="114300" simplePos="0" relativeHeight="251665408" behindDoc="0" locked="0" layoutInCell="1" allowOverlap="1" wp14:anchorId="0FF68519" wp14:editId="7F5CCBF2">
                <wp:simplePos x="0" y="0"/>
                <wp:positionH relativeFrom="column">
                  <wp:posOffset>1518699</wp:posOffset>
                </wp:positionH>
                <wp:positionV relativeFrom="paragraph">
                  <wp:posOffset>1398022</wp:posOffset>
                </wp:positionV>
                <wp:extent cx="333955" cy="516834"/>
                <wp:effectExtent l="19050" t="19050" r="66675" b="55245"/>
                <wp:wrapNone/>
                <wp:docPr id="10" name="Straight Arrow Connector 10"/>
                <wp:cNvGraphicFramePr/>
                <a:graphic xmlns:a="http://schemas.openxmlformats.org/drawingml/2006/main">
                  <a:graphicData uri="http://schemas.microsoft.com/office/word/2010/wordprocessingShape">
                    <wps:wsp>
                      <wps:cNvCnPr/>
                      <wps:spPr>
                        <a:xfrm>
                          <a:off x="0" y="0"/>
                          <a:ext cx="333955" cy="5168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F28BE5" id="_x0000_t32" coordsize="21600,21600" o:spt="32" o:oned="t" path="m,l21600,21600e" filled="f">
                <v:path arrowok="t" fillok="f" o:connecttype="none"/>
                <o:lock v:ext="edit" shapetype="t"/>
              </v:shapetype>
              <v:shape id="Straight Arrow Connector 10" o:spid="_x0000_s1026" type="#_x0000_t32" style="position:absolute;margin-left:119.6pt;margin-top:110.1pt;width:26.3pt;height:4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" strokecolor="red" strokeweight="3pt">
                <v:stroke endarrow="block" joinstyle="miter"/>
              </v:shape>
            </w:pict>
          </mc:Fallback>
        </mc:AlternateContent>
      </w:r>
      <w:r w:rsidRPr="00021B22">
        <w:rPr>
          <w:noProof/>
          <w:lang w:eastAsia="en-IE"/>
        </w:rPr>
        <mc:AlternateContent>
          <mc:Choice Requires="wps">
            <w:drawing>
              <wp:anchor distT="0" distB="0" distL="114300" distR="114300" simplePos="0" relativeHeight="251660288" behindDoc="0" locked="0" layoutInCell="1" allowOverlap="1" wp14:anchorId="26090823" wp14:editId="4389FF0E">
                <wp:simplePos x="0" y="0"/>
                <wp:positionH relativeFrom="column">
                  <wp:posOffset>3267985</wp:posOffset>
                </wp:positionH>
                <wp:positionV relativeFrom="paragraph">
                  <wp:posOffset>2463495</wp:posOffset>
                </wp:positionV>
                <wp:extent cx="683812" cy="649113"/>
                <wp:effectExtent l="38100" t="38100" r="21590" b="17780"/>
                <wp:wrapNone/>
                <wp:docPr id="7" name="Straight Arrow Connector 7"/>
                <wp:cNvGraphicFramePr/>
                <a:graphic xmlns:a="http://schemas.openxmlformats.org/drawingml/2006/main">
                  <a:graphicData uri="http://schemas.microsoft.com/office/word/2010/wordprocessingShape">
                    <wps:wsp>
                      <wps:cNvCnPr/>
                      <wps:spPr>
                        <a:xfrm flipH="1" flipV="1">
                          <a:off x="0" y="0"/>
                          <a:ext cx="683812" cy="64911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490139" id="Straight Arrow Connector 7" o:spid="_x0000_s1026" type="#_x0000_t32" style="position:absolute;margin-left:257.3pt;margin-top:194pt;width:53.85pt;height:51.1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" strokecolor="red" strokeweight="3pt">
                <v:stroke endarrow="block" joinstyle="miter"/>
              </v:shape>
            </w:pict>
          </mc:Fallback>
        </mc:AlternateContent>
      </w:r>
      <w:r w:rsidRPr="00021B22">
        <w:rPr>
          <w:noProof/>
          <w:lang w:eastAsia="en-IE"/>
        </w:rPr>
        <mc:AlternateContent>
          <mc:Choice Requires="wps">
            <w:drawing>
              <wp:anchor distT="0" distB="0" distL="114300" distR="114300" simplePos="0" relativeHeight="251659264" behindDoc="0" locked="0" layoutInCell="1" allowOverlap="1" wp14:anchorId="200A9BD9" wp14:editId="52098C8D">
                <wp:simplePos x="0" y="0"/>
                <wp:positionH relativeFrom="column">
                  <wp:posOffset>3505165</wp:posOffset>
                </wp:positionH>
                <wp:positionV relativeFrom="paragraph">
                  <wp:posOffset>3123178</wp:posOffset>
                </wp:positionV>
                <wp:extent cx="1041621" cy="421419"/>
                <wp:effectExtent l="0" t="0" r="25400" b="17145"/>
                <wp:wrapNone/>
                <wp:docPr id="6" name="Text Box 6"/>
                <wp:cNvGraphicFramePr/>
                <a:graphic xmlns:a="http://schemas.openxmlformats.org/drawingml/2006/main">
                  <a:graphicData uri="http://schemas.microsoft.com/office/word/2010/wordprocessingShape">
                    <wps:wsp>
                      <wps:cNvSpPr txBox="1"/>
                      <wps:spPr>
                        <a:xfrm>
                          <a:off x="0" y="0"/>
                          <a:ext cx="1041621" cy="421419"/>
                        </a:xfrm>
                        <a:prstGeom prst="rect">
                          <a:avLst/>
                        </a:prstGeom>
                        <a:solidFill>
                          <a:schemeClr val="lt1"/>
                        </a:solidFill>
                        <a:ln w="6350">
                          <a:solidFill>
                            <a:prstClr val="black"/>
                          </a:solidFill>
                        </a:ln>
                      </wps:spPr>
                      <wps:txbx>
                        <w:txbxContent>
                          <w:p w14:paraId="19E2988A" w14:textId="77777777" w:rsidR="002829A8" w:rsidRDefault="002829A8">
                            <w:r>
                              <w:t>Bus Turning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A9BD9" id="Text Box 6" o:spid="_x0000_s1028" type="#_x0000_t202" style="position:absolute;margin-left:276pt;margin-top:245.9pt;width:82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" fillcolor="white [3201]" strokeweight=".5pt">
                <v:textbox>
                  <w:txbxContent>
                    <w:p w14:paraId="19E2988A" w14:textId="77777777" w:rsidR="002829A8" w:rsidRDefault="002829A8">
                      <w:r>
                        <w:t>Bus Turning Circle</w:t>
                      </w:r>
                    </w:p>
                  </w:txbxContent>
                </v:textbox>
              </v:shape>
            </w:pict>
          </mc:Fallback>
        </mc:AlternateContent>
      </w:r>
      <w:r w:rsidRPr="00021B22">
        <w:rPr>
          <w:noProof/>
          <w:lang w:eastAsia="en-IE"/>
        </w:rPr>
        <mc:AlternateContent>
          <mc:Choice Requires="wps">
            <w:drawing>
              <wp:anchor distT="0" distB="0" distL="114300" distR="114300" simplePos="0" relativeHeight="251661312" behindDoc="0" locked="0" layoutInCell="1" allowOverlap="1" wp14:anchorId="5361EA51" wp14:editId="6E67113F">
                <wp:simplePos x="0" y="0"/>
                <wp:positionH relativeFrom="column">
                  <wp:posOffset>1320927</wp:posOffset>
                </wp:positionH>
                <wp:positionV relativeFrom="paragraph">
                  <wp:posOffset>1765900</wp:posOffset>
                </wp:positionV>
                <wp:extent cx="2101929" cy="1182658"/>
                <wp:effectExtent l="38100" t="133350" r="31750" b="36830"/>
                <wp:wrapNone/>
                <wp:docPr id="8" name="Cloud 8"/>
                <wp:cNvGraphicFramePr/>
                <a:graphic xmlns:a="http://schemas.openxmlformats.org/drawingml/2006/main">
                  <a:graphicData uri="http://schemas.microsoft.com/office/word/2010/wordprocessingShape">
                    <wps:wsp>
                      <wps:cNvSpPr/>
                      <wps:spPr>
                        <a:xfrm rot="21025929">
                          <a:off x="0" y="0"/>
                          <a:ext cx="2101929" cy="1182658"/>
                        </a:xfrm>
                        <a:prstGeom prst="cloud">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0F8F4" id="Cloud 8" o:spid="_x0000_s1026" style="position:absolute;margin-left:104pt;margin-top:139.05pt;width:165.5pt;height:93.1pt;rotation:-62703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red" strokeweight="4.5pt">
                <v:stroke joinstyle="miter"/>
                <v:path arrowok="t" o:connecttype="custom" o:connectlocs="228341,716631;105096,694812;337087,955407;283177,965837;801750,1070141;769248,1022506;1402600,951355;1389609,1003617;1660573,628397;1818752,823754;2033714,420336;1963260,493595;1864683,148544;1868381,183148;1414812,108191;1450915,64061;1077287,129216;1094755,91163;681181,142138;744433,179041;200802,432245;189757,393398" o:connectangles="0,0,0,0,0,0,0,0,0,0,0,0,0,0,0,0,0,0,0,0,0,0"/>
              </v:shape>
            </w:pict>
          </mc:Fallback>
        </mc:AlternateContent>
      </w:r>
      <w:r w:rsidRPr="00021B22">
        <w:rPr>
          <w:noProof/>
          <w:lang w:eastAsia="en-IE"/>
        </w:rPr>
        <w:drawing>
          <wp:inline distT="0" distB="0" distL="0" distR="0" wp14:anchorId="030D8657" wp14:editId="38E7732D">
            <wp:extent cx="5438692" cy="443595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991" t="3148" r="2054" b="12306"/>
                    <a:stretch/>
                  </pic:blipFill>
                  <pic:spPr bwMode="auto">
                    <a:xfrm>
                      <a:off x="0" y="0"/>
                      <a:ext cx="5445210" cy="4441268"/>
                    </a:xfrm>
                    <a:prstGeom prst="rect">
                      <a:avLst/>
                    </a:prstGeom>
                    <a:ln>
                      <a:noFill/>
                    </a:ln>
                    <a:extLst>
                      <a:ext uri="{53640926-AAD7-44D8-BBD7-CCE9431645EC}">
                        <a14:shadowObscured xmlns:a14="http://schemas.microsoft.com/office/drawing/2010/main"/>
                      </a:ext>
                    </a:extLst>
                  </pic:spPr>
                </pic:pic>
              </a:graphicData>
            </a:graphic>
          </wp:inline>
        </w:drawing>
      </w:r>
    </w:p>
    <w:p w14:paraId="20FD138B" w14:textId="763B99D4" w:rsidR="00B44056" w:rsidRPr="00021B22" w:rsidRDefault="00B33932" w:rsidP="00B33932">
      <w:pPr>
        <w:pStyle w:val="Caption"/>
        <w:rPr>
          <w:color w:val="auto"/>
        </w:rPr>
      </w:pPr>
      <w:r w:rsidRPr="00021B22">
        <w:rPr>
          <w:color w:val="auto"/>
        </w:rPr>
        <w:t xml:space="preserve">Figure </w:t>
      </w:r>
      <w:r w:rsidR="00021B22" w:rsidRPr="00021B22">
        <w:rPr>
          <w:color w:val="auto"/>
        </w:rPr>
        <w:fldChar w:fldCharType="begin"/>
      </w:r>
      <w:r w:rsidR="00021B22" w:rsidRPr="00021B22">
        <w:rPr>
          <w:color w:val="auto"/>
        </w:rPr>
        <w:instrText xml:space="preserve"> SEQ Figure \* ARABIC </w:instrText>
      </w:r>
      <w:r w:rsidR="00021B22" w:rsidRPr="00021B22">
        <w:rPr>
          <w:color w:val="auto"/>
        </w:rPr>
        <w:fldChar w:fldCharType="separate"/>
      </w:r>
      <w:r w:rsidR="00DC4A9E" w:rsidRPr="00021B22">
        <w:rPr>
          <w:noProof/>
          <w:color w:val="auto"/>
        </w:rPr>
        <w:t>3</w:t>
      </w:r>
      <w:r w:rsidR="00021B22" w:rsidRPr="00021B22">
        <w:rPr>
          <w:noProof/>
          <w:color w:val="auto"/>
        </w:rPr>
        <w:fldChar w:fldCharType="end"/>
      </w:r>
      <w:r w:rsidRPr="00021B22">
        <w:rPr>
          <w:color w:val="auto"/>
        </w:rPr>
        <w:t xml:space="preserve"> Original College Green Plaza design with buses facilitated</w:t>
      </w:r>
    </w:p>
    <w:p w14:paraId="27E38BE5" w14:textId="77777777" w:rsidR="00B44056" w:rsidRPr="00021B22" w:rsidRDefault="00B44056"/>
    <w:p w14:paraId="5F7AA635" w14:textId="7DC913B9" w:rsidR="006E3A13" w:rsidRPr="00021B22" w:rsidRDefault="006E3A13" w:rsidP="00B33932">
      <w:pPr>
        <w:rPr>
          <w:b/>
        </w:rPr>
      </w:pPr>
      <w:r w:rsidRPr="00021B22">
        <w:rPr>
          <w:b/>
        </w:rPr>
        <w:t>Implicatio</w:t>
      </w:r>
      <w:r w:rsidR="006E6DB1" w:rsidRPr="00021B22">
        <w:rPr>
          <w:b/>
        </w:rPr>
        <w:t>ns of the Bus Connects Network R</w:t>
      </w:r>
      <w:r w:rsidRPr="00021B22">
        <w:rPr>
          <w:b/>
        </w:rPr>
        <w:t xml:space="preserve">edesign on proposals for </w:t>
      </w:r>
      <w:r w:rsidR="00576FF2" w:rsidRPr="00021B22">
        <w:rPr>
          <w:b/>
        </w:rPr>
        <w:t xml:space="preserve">the </w:t>
      </w:r>
      <w:r w:rsidR="007016B0" w:rsidRPr="00021B22">
        <w:rPr>
          <w:b/>
        </w:rPr>
        <w:t>Dame Street</w:t>
      </w:r>
      <w:r w:rsidR="00595F40" w:rsidRPr="00021B22">
        <w:rPr>
          <w:b/>
        </w:rPr>
        <w:t xml:space="preserve"> a</w:t>
      </w:r>
      <w:r w:rsidR="00576FF2" w:rsidRPr="00021B22">
        <w:rPr>
          <w:b/>
        </w:rPr>
        <w:t>rea</w:t>
      </w:r>
      <w:r w:rsidRPr="00021B22">
        <w:rPr>
          <w:b/>
        </w:rPr>
        <w:t xml:space="preserve"> (between </w:t>
      </w:r>
      <w:proofErr w:type="spellStart"/>
      <w:r w:rsidRPr="00021B22">
        <w:rPr>
          <w:b/>
        </w:rPr>
        <w:t>Anglesea</w:t>
      </w:r>
      <w:proofErr w:type="spellEnd"/>
      <w:r w:rsidR="007016B0" w:rsidRPr="00021B22">
        <w:rPr>
          <w:b/>
        </w:rPr>
        <w:t xml:space="preserve"> Street and South Great George’s Street</w:t>
      </w:r>
      <w:r w:rsidRPr="00021B22">
        <w:rPr>
          <w:b/>
        </w:rPr>
        <w:t>)</w:t>
      </w:r>
    </w:p>
    <w:p w14:paraId="7F472D2C" w14:textId="65C247DF" w:rsidR="00FE2474" w:rsidRPr="00021B22" w:rsidRDefault="00576FF2" w:rsidP="00FE2474">
      <w:r w:rsidRPr="00021B22">
        <w:t xml:space="preserve">With </w:t>
      </w:r>
      <w:r w:rsidR="00FA0AAA" w:rsidRPr="00021B22">
        <w:t xml:space="preserve">an option under the Bus Connects Network Redesign to remove </w:t>
      </w:r>
      <w:r w:rsidRPr="00021B22">
        <w:t>buses from Co</w:t>
      </w:r>
      <w:r w:rsidR="00595F40" w:rsidRPr="00021B22">
        <w:t>llege Green</w:t>
      </w:r>
      <w:r w:rsidR="007016B0" w:rsidRPr="00021B22">
        <w:t xml:space="preserve"> and the Dame Street</w:t>
      </w:r>
      <w:r w:rsidRPr="00021B22">
        <w:t xml:space="preserve"> area </w:t>
      </w:r>
      <w:r w:rsidR="00AA6F10" w:rsidRPr="00021B22">
        <w:t xml:space="preserve">(between </w:t>
      </w:r>
      <w:proofErr w:type="spellStart"/>
      <w:r w:rsidR="00AA6F10" w:rsidRPr="00021B22">
        <w:t>Anglesea</w:t>
      </w:r>
      <w:proofErr w:type="spellEnd"/>
      <w:r w:rsidR="00AA6F10" w:rsidRPr="00021B22">
        <w:t xml:space="preserve"> </w:t>
      </w:r>
      <w:r w:rsidR="007016B0" w:rsidRPr="00021B22">
        <w:t>Street and South Great George’s Street</w:t>
      </w:r>
      <w:r w:rsidR="00AA6F10" w:rsidRPr="00021B22">
        <w:t>)</w:t>
      </w:r>
      <w:r w:rsidRPr="00021B22">
        <w:t>, there is an opportunity to</w:t>
      </w:r>
      <w:r w:rsidR="00A00F3C" w:rsidRPr="00021B22">
        <w:t xml:space="preserve"> further reduce vehicular traffic and</w:t>
      </w:r>
      <w:r w:rsidRPr="00021B22">
        <w:t xml:space="preserve"> </w:t>
      </w:r>
      <w:r w:rsidR="00236031" w:rsidRPr="00021B22">
        <w:t xml:space="preserve">enhance the </w:t>
      </w:r>
      <w:r w:rsidR="00D85C9F" w:rsidRPr="00021B22">
        <w:t>quality of the public realm</w:t>
      </w:r>
      <w:r w:rsidR="00E00EB9" w:rsidRPr="00021B22">
        <w:t xml:space="preserve"> at </w:t>
      </w:r>
      <w:r w:rsidR="0009242A" w:rsidRPr="00021B22">
        <w:t xml:space="preserve">the </w:t>
      </w:r>
      <w:r w:rsidR="0009242A" w:rsidRPr="00021B22">
        <w:lastRenderedPageBreak/>
        <w:t xml:space="preserve">proposed </w:t>
      </w:r>
      <w:r w:rsidR="00E00EB9" w:rsidRPr="00021B22">
        <w:t xml:space="preserve">College Green Plaza further west </w:t>
      </w:r>
      <w:r w:rsidR="007016B0" w:rsidRPr="00021B22">
        <w:t>towards Dame Street</w:t>
      </w:r>
      <w:r w:rsidR="0093645D" w:rsidRPr="00021B22">
        <w:t xml:space="preserve"> </w:t>
      </w:r>
      <w:r w:rsidR="00E00EB9" w:rsidRPr="00021B22">
        <w:t xml:space="preserve">as far as </w:t>
      </w:r>
      <w:r w:rsidR="00350561" w:rsidRPr="00021B22">
        <w:t xml:space="preserve">the junction with </w:t>
      </w:r>
      <w:r w:rsidR="0093645D" w:rsidRPr="00021B22">
        <w:t>South Great George’s St</w:t>
      </w:r>
      <w:r w:rsidR="007016B0" w:rsidRPr="00021B22">
        <w:t>reet</w:t>
      </w:r>
      <w:r w:rsidR="0093645D" w:rsidRPr="00021B22">
        <w:t xml:space="preserve">. </w:t>
      </w:r>
      <w:r w:rsidR="00A00F3C" w:rsidRPr="00021B22">
        <w:t>The two</w:t>
      </w:r>
      <w:r w:rsidR="00E00EB9" w:rsidRPr="00021B22">
        <w:t xml:space="preserve">–way </w:t>
      </w:r>
      <w:r w:rsidR="00EB554B" w:rsidRPr="00021B22">
        <w:t xml:space="preserve">protected </w:t>
      </w:r>
      <w:r w:rsidR="00E00EB9" w:rsidRPr="00021B22">
        <w:t xml:space="preserve">cycle route would be extended </w:t>
      </w:r>
      <w:r w:rsidR="0009242A" w:rsidRPr="00021B22">
        <w:t>from College Green as far as the junction with South Great George’s St</w:t>
      </w:r>
      <w:r w:rsidR="007016B0" w:rsidRPr="00021B22">
        <w:t>reet</w:t>
      </w:r>
      <w:r w:rsidR="00FE2474" w:rsidRPr="00021B22">
        <w:t>.</w:t>
      </w:r>
    </w:p>
    <w:p w14:paraId="689CDCBB" w14:textId="77777777" w:rsidR="00FA0AAA" w:rsidRPr="00021B22" w:rsidRDefault="00FA0AAA"/>
    <w:p w14:paraId="64CCD390" w14:textId="5FBAF3CB" w:rsidR="00CA4AFD" w:rsidRPr="00021B22" w:rsidRDefault="00802CDF">
      <w:pPr>
        <w:rPr>
          <w:b/>
          <w:sz w:val="28"/>
          <w:szCs w:val="28"/>
        </w:rPr>
      </w:pPr>
      <w:r w:rsidRPr="00021B22">
        <w:rPr>
          <w:b/>
          <w:sz w:val="28"/>
          <w:szCs w:val="28"/>
        </w:rPr>
        <w:t>Revised scheme options</w:t>
      </w:r>
      <w:r w:rsidR="00CA4AFD" w:rsidRPr="00021B22">
        <w:rPr>
          <w:b/>
          <w:sz w:val="28"/>
          <w:szCs w:val="28"/>
        </w:rPr>
        <w:t xml:space="preserve"> for College Green </w:t>
      </w:r>
      <w:r w:rsidR="008D7CB1" w:rsidRPr="00021B22">
        <w:rPr>
          <w:b/>
          <w:sz w:val="28"/>
          <w:szCs w:val="28"/>
        </w:rPr>
        <w:t xml:space="preserve">(Core Plaza area) </w:t>
      </w:r>
      <w:r w:rsidR="007016B0" w:rsidRPr="00021B22">
        <w:rPr>
          <w:b/>
          <w:sz w:val="28"/>
          <w:szCs w:val="28"/>
        </w:rPr>
        <w:t>and Dame Street</w:t>
      </w:r>
      <w:r w:rsidR="00CA4AFD" w:rsidRPr="00021B22">
        <w:rPr>
          <w:b/>
          <w:sz w:val="28"/>
          <w:szCs w:val="28"/>
        </w:rPr>
        <w:t xml:space="preserve"> area </w:t>
      </w:r>
      <w:r w:rsidR="008D7CB1" w:rsidRPr="00021B22">
        <w:rPr>
          <w:b/>
          <w:sz w:val="28"/>
          <w:szCs w:val="28"/>
        </w:rPr>
        <w:t>(Outer Plaza Area)</w:t>
      </w:r>
    </w:p>
    <w:p w14:paraId="20DD2F27" w14:textId="77777777" w:rsidR="00B33932" w:rsidRPr="00021B22" w:rsidRDefault="008D7CB1" w:rsidP="00B33932">
      <w:pPr>
        <w:keepNext/>
      </w:pPr>
      <w:r w:rsidRPr="00021B22">
        <w:rPr>
          <w:noProof/>
          <w:lang w:eastAsia="en-IE"/>
        </w:rPr>
        <w:drawing>
          <wp:inline distT="0" distB="0" distL="0" distR="0" wp14:anchorId="223A4857" wp14:editId="30F5E48F">
            <wp:extent cx="5731510" cy="335089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350895"/>
                    </a:xfrm>
                    <a:prstGeom prst="rect">
                      <a:avLst/>
                    </a:prstGeom>
                  </pic:spPr>
                </pic:pic>
              </a:graphicData>
            </a:graphic>
          </wp:inline>
        </w:drawing>
      </w:r>
    </w:p>
    <w:p w14:paraId="6066BDF6" w14:textId="73CB068E" w:rsidR="00B33932" w:rsidRPr="00021B22" w:rsidRDefault="00B33932" w:rsidP="00B33932">
      <w:pPr>
        <w:pStyle w:val="Caption"/>
        <w:rPr>
          <w:color w:val="auto"/>
        </w:rPr>
      </w:pPr>
      <w:r w:rsidRPr="00021B22">
        <w:rPr>
          <w:color w:val="auto"/>
        </w:rPr>
        <w:t xml:space="preserve">Figure </w:t>
      </w:r>
      <w:r w:rsidR="00021B22" w:rsidRPr="00021B22">
        <w:rPr>
          <w:color w:val="auto"/>
        </w:rPr>
        <w:fldChar w:fldCharType="begin"/>
      </w:r>
      <w:r w:rsidR="00021B22" w:rsidRPr="00021B22">
        <w:rPr>
          <w:color w:val="auto"/>
        </w:rPr>
        <w:instrText xml:space="preserve"> SEQ Figure \* ARABIC</w:instrText>
      </w:r>
      <w:r w:rsidR="00021B22" w:rsidRPr="00021B22">
        <w:rPr>
          <w:color w:val="auto"/>
        </w:rPr>
        <w:instrText xml:space="preserve"> </w:instrText>
      </w:r>
      <w:r w:rsidR="00021B22" w:rsidRPr="00021B22">
        <w:rPr>
          <w:color w:val="auto"/>
        </w:rPr>
        <w:fldChar w:fldCharType="separate"/>
      </w:r>
      <w:r w:rsidR="00DC4A9E" w:rsidRPr="00021B22">
        <w:rPr>
          <w:noProof/>
          <w:color w:val="auto"/>
        </w:rPr>
        <w:t>4</w:t>
      </w:r>
      <w:r w:rsidR="00021B22" w:rsidRPr="00021B22">
        <w:rPr>
          <w:noProof/>
          <w:color w:val="auto"/>
        </w:rPr>
        <w:fldChar w:fldCharType="end"/>
      </w:r>
      <w:r w:rsidRPr="00021B22">
        <w:rPr>
          <w:color w:val="auto"/>
        </w:rPr>
        <w:t xml:space="preserve"> Core Plaza Area and Outer Plaza area</w:t>
      </w:r>
    </w:p>
    <w:p w14:paraId="60927B8E" w14:textId="6650C5FE" w:rsidR="00802CDF" w:rsidRPr="00021B22" w:rsidRDefault="0024026F" w:rsidP="00802CDF">
      <w:r w:rsidRPr="00021B22">
        <w:t xml:space="preserve">Dublin City Council commissioned </w:t>
      </w:r>
      <w:proofErr w:type="spellStart"/>
      <w:r w:rsidRPr="00021B22">
        <w:t>Aecom</w:t>
      </w:r>
      <w:proofErr w:type="spellEnd"/>
      <w:r w:rsidRPr="00021B22">
        <w:t xml:space="preserve"> Consultants to undertake a </w:t>
      </w:r>
      <w:r w:rsidR="00C316F6" w:rsidRPr="00021B22">
        <w:t xml:space="preserve">Multi Criteria Appraisal </w:t>
      </w:r>
      <w:r w:rsidRPr="00021B22">
        <w:t>(MCA) of a number of</w:t>
      </w:r>
      <w:r w:rsidR="000D20C6" w:rsidRPr="00021B22">
        <w:t xml:space="preserve"> revised scheme</w:t>
      </w:r>
      <w:r w:rsidRPr="00021B22">
        <w:t xml:space="preserve"> options fo</w:t>
      </w:r>
      <w:r w:rsidR="00B00D54" w:rsidRPr="00021B22">
        <w:t>r College Green in order to assess which should be taken forward for more detaile</w:t>
      </w:r>
      <w:r w:rsidR="00802CDF" w:rsidRPr="00021B22">
        <w:t>d work and statutory approval. These scheme options aim to:</w:t>
      </w:r>
    </w:p>
    <w:p w14:paraId="6E9AD3B8" w14:textId="77777777" w:rsidR="00802CDF" w:rsidRPr="00021B22" w:rsidRDefault="00802CDF" w:rsidP="00B33932">
      <w:pPr>
        <w:pStyle w:val="ListParagraph"/>
        <w:numPr>
          <w:ilvl w:val="0"/>
          <w:numId w:val="2"/>
        </w:numPr>
      </w:pPr>
      <w:r w:rsidRPr="00021B22">
        <w:t>Take cognisance of the original application and subsequent</w:t>
      </w:r>
      <w:r w:rsidR="00B33932" w:rsidRPr="00021B22">
        <w:t xml:space="preserve"> </w:t>
      </w:r>
      <w:r w:rsidRPr="00021B22">
        <w:t xml:space="preserve"> Inspectors report</w:t>
      </w:r>
      <w:r w:rsidR="00B33932" w:rsidRPr="00021B22">
        <w:t xml:space="preserve"> from An </w:t>
      </w:r>
      <w:proofErr w:type="spellStart"/>
      <w:r w:rsidR="00B33932" w:rsidRPr="00021B22">
        <w:t>Bord</w:t>
      </w:r>
      <w:proofErr w:type="spellEnd"/>
      <w:r w:rsidR="00B33932" w:rsidRPr="00021B22">
        <w:t xml:space="preserve"> </w:t>
      </w:r>
      <w:proofErr w:type="spellStart"/>
      <w:r w:rsidR="00B33932" w:rsidRPr="00021B22">
        <w:t>Pleanala</w:t>
      </w:r>
      <w:proofErr w:type="spellEnd"/>
    </w:p>
    <w:p w14:paraId="44B93194" w14:textId="77777777" w:rsidR="00802CDF" w:rsidRPr="00021B22" w:rsidRDefault="00802CDF" w:rsidP="00B33932">
      <w:pPr>
        <w:pStyle w:val="ListParagraph"/>
        <w:numPr>
          <w:ilvl w:val="0"/>
          <w:numId w:val="2"/>
        </w:numPr>
      </w:pPr>
      <w:r w:rsidRPr="00021B22">
        <w:t>Optimise the value of lessons learnt from trial closures of the space to vehicular traffic during the summer of 2019; and</w:t>
      </w:r>
    </w:p>
    <w:p w14:paraId="0FAFDECC" w14:textId="77777777" w:rsidR="00802CDF" w:rsidRPr="00021B22" w:rsidRDefault="00802CDF" w:rsidP="00B33932">
      <w:pPr>
        <w:pStyle w:val="ListParagraph"/>
        <w:numPr>
          <w:ilvl w:val="0"/>
          <w:numId w:val="2"/>
        </w:numPr>
      </w:pPr>
      <w:r w:rsidRPr="00021B22">
        <w:t>Incorporate the proposed bus Network Redesign as part of Bus Connects which has changed the requirements for bus movements in the area.</w:t>
      </w:r>
    </w:p>
    <w:p w14:paraId="6902FE64" w14:textId="77777777" w:rsidR="00A00F3C" w:rsidRPr="00021B22" w:rsidRDefault="00A00F3C"/>
    <w:p w14:paraId="32E62AB4" w14:textId="77777777" w:rsidR="00802CDF" w:rsidRPr="00021B22" w:rsidRDefault="00802CDF">
      <w:r w:rsidRPr="00021B22">
        <w:t>The revised options are summarised as follows:</w:t>
      </w:r>
    </w:p>
    <w:p w14:paraId="43011634" w14:textId="77777777" w:rsidR="00B33932" w:rsidRPr="00021B22" w:rsidRDefault="00B33932" w:rsidP="00B33932">
      <w:pPr>
        <w:numPr>
          <w:ilvl w:val="0"/>
          <w:numId w:val="5"/>
        </w:numPr>
        <w:spacing w:after="0" w:line="240" w:lineRule="auto"/>
      </w:pPr>
      <w:r w:rsidRPr="00021B22">
        <w:rPr>
          <w:b/>
          <w:bCs/>
        </w:rPr>
        <w:t>Option 1</w:t>
      </w:r>
      <w:r w:rsidRPr="00021B22">
        <w:t xml:space="preserve"> – This is the original College Green Plaza design that was submitted as part of the previous planning application with little public realm improvement in Dame Street. </w:t>
      </w:r>
    </w:p>
    <w:p w14:paraId="1BBDA86D" w14:textId="77777777" w:rsidR="00B33932" w:rsidRPr="00021B22" w:rsidRDefault="00B33932" w:rsidP="00B33932">
      <w:pPr>
        <w:numPr>
          <w:ilvl w:val="0"/>
          <w:numId w:val="5"/>
        </w:numPr>
        <w:spacing w:after="0" w:line="240" w:lineRule="auto"/>
      </w:pPr>
      <w:r w:rsidRPr="00021B22">
        <w:rPr>
          <w:b/>
          <w:bCs/>
        </w:rPr>
        <w:t>Option 2</w:t>
      </w:r>
      <w:r w:rsidRPr="00021B22">
        <w:t xml:space="preserve"> – Feedback from the Planning Inspector was taken into account to incorporate a west to east bus lane within the original scheme design;</w:t>
      </w:r>
    </w:p>
    <w:p w14:paraId="55F327C7" w14:textId="77777777" w:rsidR="00B33932" w:rsidRPr="00021B22" w:rsidRDefault="00B33932" w:rsidP="00B33932">
      <w:pPr>
        <w:numPr>
          <w:ilvl w:val="0"/>
          <w:numId w:val="5"/>
        </w:numPr>
        <w:spacing w:after="0" w:line="240" w:lineRule="auto"/>
      </w:pPr>
      <w:r w:rsidRPr="00021B22">
        <w:rPr>
          <w:b/>
          <w:bCs/>
        </w:rPr>
        <w:t>Option 3</w:t>
      </w:r>
      <w:r w:rsidRPr="00021B22">
        <w:t xml:space="preserve"> – This option increases the area of pedestrianisation and removes all bus</w:t>
      </w:r>
      <w:proofErr w:type="gramStart"/>
      <w:r w:rsidRPr="00021B22">
        <w:t>  requirements</w:t>
      </w:r>
      <w:proofErr w:type="gramEnd"/>
      <w:r w:rsidRPr="00021B22">
        <w:t xml:space="preserve"> from the Scheme. The main pedestrianised area would be the Core Plaza, </w:t>
      </w:r>
      <w:r w:rsidRPr="00021B22">
        <w:lastRenderedPageBreak/>
        <w:t xml:space="preserve">with improved public realm provision on Dame Street. This option provides vehicular access for deliveries and to car parks and a two way protected cycle track. </w:t>
      </w:r>
    </w:p>
    <w:p w14:paraId="6C49D063" w14:textId="77777777" w:rsidR="00B33932" w:rsidRPr="00021B22" w:rsidRDefault="00B33932" w:rsidP="00B33932">
      <w:pPr>
        <w:numPr>
          <w:ilvl w:val="0"/>
          <w:numId w:val="5"/>
        </w:numPr>
        <w:spacing w:after="0" w:line="240" w:lineRule="auto"/>
      </w:pPr>
      <w:r w:rsidRPr="00021B22">
        <w:rPr>
          <w:b/>
          <w:bCs/>
        </w:rPr>
        <w:t>Option 4</w:t>
      </w:r>
      <w:r w:rsidRPr="00021B22">
        <w:t xml:space="preserve"> – Is similar to Option 3 but vehicular access for deliveries would only be allowed up to 11:00 to Dame Street east of Georges Street, this allows considerable opportunity for public realm improvements as the space  is traffic free after 11:00 with a two way cycle track. </w:t>
      </w:r>
    </w:p>
    <w:p w14:paraId="66CC50A9" w14:textId="77777777" w:rsidR="00B33932" w:rsidRPr="00021B22" w:rsidRDefault="00B33932" w:rsidP="00B33932">
      <w:pPr>
        <w:numPr>
          <w:ilvl w:val="0"/>
          <w:numId w:val="5"/>
        </w:numPr>
        <w:spacing w:after="0" w:line="240" w:lineRule="auto"/>
      </w:pPr>
      <w:r w:rsidRPr="00021B22">
        <w:rPr>
          <w:b/>
          <w:bCs/>
        </w:rPr>
        <w:t>Option 5</w:t>
      </w:r>
      <w:r w:rsidRPr="00021B22">
        <w:t xml:space="preserve"> – This option increases the area of pedestrianisation similar to Option 3 but would</w:t>
      </w:r>
      <w:proofErr w:type="gramStart"/>
      <w:r w:rsidRPr="00021B22">
        <w:t>  allow</w:t>
      </w:r>
      <w:proofErr w:type="gramEnd"/>
      <w:r w:rsidRPr="00021B22">
        <w:t xml:space="preserve"> bus movement in a west to east direction with a bus lane on the northern side of the College Green space.</w:t>
      </w:r>
    </w:p>
    <w:p w14:paraId="473F5669" w14:textId="77777777" w:rsidR="00802CDF" w:rsidRPr="00021B22" w:rsidRDefault="00802CDF"/>
    <w:p w14:paraId="45CB401F" w14:textId="52CBF225" w:rsidR="00DC4A9E" w:rsidRPr="00021B22" w:rsidRDefault="00FE13ED">
      <w:pPr>
        <w:sectPr w:rsidR="00DC4A9E" w:rsidRPr="00021B22">
          <w:pgSz w:w="11906" w:h="16838"/>
          <w:pgMar w:top="1440" w:right="1440" w:bottom="1440" w:left="1440" w:header="708" w:footer="708" w:gutter="0"/>
          <w:cols w:space="708"/>
          <w:docGrid w:linePitch="360"/>
        </w:sectPr>
      </w:pPr>
      <w:r w:rsidRPr="00021B22">
        <w:t xml:space="preserve">The </w:t>
      </w:r>
      <w:r w:rsidR="00016427" w:rsidRPr="00021B22">
        <w:t xml:space="preserve">Multi Criteria </w:t>
      </w:r>
      <w:r w:rsidR="00C316F6" w:rsidRPr="00021B22">
        <w:t>Appraisal</w:t>
      </w:r>
      <w:r w:rsidR="00016427" w:rsidRPr="00021B22">
        <w:t xml:space="preserve"> (M</w:t>
      </w:r>
      <w:r w:rsidR="00D1629B" w:rsidRPr="00021B22">
        <w:t>CA</w:t>
      </w:r>
      <w:r w:rsidR="00016427" w:rsidRPr="00021B22">
        <w:t>) scored O</w:t>
      </w:r>
      <w:r w:rsidR="00D1629B" w:rsidRPr="00021B22">
        <w:t>ption 4 highest</w:t>
      </w:r>
      <w:r w:rsidR="00016427" w:rsidRPr="00021B22">
        <w:t xml:space="preserve"> with O</w:t>
      </w:r>
      <w:r w:rsidR="00D1629B" w:rsidRPr="00021B22">
        <w:t>ption 3 also scoring very highly.  Because the two options score quite highly it was recommended to undertake a public cons</w:t>
      </w:r>
      <w:r w:rsidR="00E37AC3" w:rsidRPr="00021B22">
        <w:t>ultation exercise at this point</w:t>
      </w:r>
      <w:r w:rsidR="00D1629B" w:rsidRPr="00021B22">
        <w:t xml:space="preserve"> to help inform the design process. </w:t>
      </w:r>
    </w:p>
    <w:p w14:paraId="3EDD91E7" w14:textId="2167B942" w:rsidR="00FE13ED" w:rsidRPr="00021B22" w:rsidRDefault="00FE13ED"/>
    <w:tbl>
      <w:tblPr>
        <w:tblW w:w="13948" w:type="dxa"/>
        <w:tblLook w:val="04A0" w:firstRow="1" w:lastRow="0" w:firstColumn="1" w:lastColumn="0" w:noHBand="0" w:noVBand="1"/>
      </w:tblPr>
      <w:tblGrid>
        <w:gridCol w:w="1836"/>
        <w:gridCol w:w="2443"/>
        <w:gridCol w:w="4654"/>
        <w:gridCol w:w="1003"/>
        <w:gridCol w:w="1003"/>
        <w:gridCol w:w="1003"/>
        <w:gridCol w:w="1003"/>
        <w:gridCol w:w="1003"/>
      </w:tblGrid>
      <w:tr w:rsidR="00021B22" w:rsidRPr="00021B22" w14:paraId="2F70BE7A" w14:textId="77777777" w:rsidTr="00DC4A9E">
        <w:trPr>
          <w:trHeight w:val="370"/>
          <w:tblHeader/>
        </w:trPr>
        <w:tc>
          <w:tcPr>
            <w:tcW w:w="1836" w:type="dxa"/>
            <w:vMerge w:val="restart"/>
            <w:tcBorders>
              <w:top w:val="single" w:sz="4" w:space="0" w:color="auto"/>
              <w:left w:val="single" w:sz="4" w:space="0" w:color="auto"/>
              <w:right w:val="single" w:sz="4" w:space="0" w:color="auto"/>
            </w:tcBorders>
            <w:shd w:val="clear" w:color="auto" w:fill="00B5E2"/>
            <w:vAlign w:val="center"/>
            <w:hideMark/>
          </w:tcPr>
          <w:p w14:paraId="13033D90" w14:textId="77777777" w:rsidR="00DC4A9E" w:rsidRPr="00021B22" w:rsidRDefault="00DC4A9E" w:rsidP="00DC4A9E">
            <w:pPr>
              <w:spacing w:after="0" w:line="240" w:lineRule="auto"/>
              <w:rPr>
                <w:rFonts w:ascii="AECOM Sans Light" w:eastAsia="Times New Roman" w:hAnsi="AECOM Sans Light" w:cs="AECOM Sans Light"/>
                <w:b/>
                <w:bCs/>
                <w:sz w:val="18"/>
                <w:szCs w:val="18"/>
                <w:lang w:eastAsia="en-GB"/>
              </w:rPr>
            </w:pPr>
            <w:bookmarkStart w:id="1" w:name="_Hlk34987683"/>
            <w:r w:rsidRPr="00021B22">
              <w:rPr>
                <w:rFonts w:ascii="AECOM Sans Light" w:eastAsia="Times New Roman" w:hAnsi="AECOM Sans Light" w:cs="AECOM Sans Light"/>
                <w:b/>
                <w:bCs/>
                <w:sz w:val="18"/>
                <w:szCs w:val="18"/>
                <w:lang w:eastAsia="en-GB"/>
              </w:rPr>
              <w:t>CAF Criteria</w:t>
            </w:r>
          </w:p>
        </w:tc>
        <w:tc>
          <w:tcPr>
            <w:tcW w:w="2443" w:type="dxa"/>
            <w:vMerge w:val="restart"/>
            <w:tcBorders>
              <w:top w:val="single" w:sz="4" w:space="0" w:color="auto"/>
              <w:left w:val="nil"/>
              <w:right w:val="single" w:sz="4" w:space="0" w:color="auto"/>
            </w:tcBorders>
            <w:shd w:val="clear" w:color="auto" w:fill="00B5E2"/>
            <w:vAlign w:val="center"/>
            <w:hideMark/>
          </w:tcPr>
          <w:p w14:paraId="7E5D707C" w14:textId="77777777" w:rsidR="00DC4A9E" w:rsidRPr="00021B22" w:rsidRDefault="00DC4A9E" w:rsidP="00DC4A9E">
            <w:pPr>
              <w:spacing w:after="0" w:line="240" w:lineRule="auto"/>
              <w:rPr>
                <w:rFonts w:ascii="AECOM Sans Light" w:eastAsia="Times New Roman" w:hAnsi="AECOM Sans Light" w:cs="AECOM Sans Light"/>
                <w:b/>
                <w:bCs/>
                <w:sz w:val="18"/>
                <w:szCs w:val="18"/>
                <w:lang w:eastAsia="en-GB"/>
              </w:rPr>
            </w:pPr>
            <w:r w:rsidRPr="00021B22">
              <w:rPr>
                <w:rFonts w:ascii="AECOM Sans Light" w:eastAsia="Times New Roman" w:hAnsi="AECOM Sans Light" w:cs="AECOM Sans Light"/>
                <w:b/>
                <w:bCs/>
                <w:sz w:val="18"/>
                <w:szCs w:val="18"/>
                <w:lang w:eastAsia="en-GB"/>
              </w:rPr>
              <w:t>CAF Sub-Criteria</w:t>
            </w:r>
          </w:p>
        </w:tc>
        <w:tc>
          <w:tcPr>
            <w:tcW w:w="4654" w:type="dxa"/>
            <w:vMerge w:val="restart"/>
            <w:tcBorders>
              <w:top w:val="single" w:sz="4" w:space="0" w:color="auto"/>
              <w:left w:val="nil"/>
              <w:right w:val="single" w:sz="4" w:space="0" w:color="auto"/>
            </w:tcBorders>
            <w:shd w:val="clear" w:color="auto" w:fill="00B5E2"/>
            <w:noWrap/>
            <w:vAlign w:val="center"/>
            <w:hideMark/>
          </w:tcPr>
          <w:p w14:paraId="61B14792" w14:textId="77777777" w:rsidR="00DC4A9E" w:rsidRPr="00021B22" w:rsidRDefault="00DC4A9E" w:rsidP="00DC4A9E">
            <w:pPr>
              <w:spacing w:after="0" w:line="240" w:lineRule="auto"/>
              <w:rPr>
                <w:rFonts w:ascii="AECOM Sans Light" w:eastAsia="Times New Roman" w:hAnsi="AECOM Sans Light" w:cs="AECOM Sans Light"/>
                <w:b/>
                <w:bCs/>
                <w:sz w:val="18"/>
                <w:szCs w:val="18"/>
                <w:lang w:eastAsia="en-GB"/>
              </w:rPr>
            </w:pPr>
            <w:r w:rsidRPr="00021B22">
              <w:rPr>
                <w:rFonts w:ascii="AECOM Sans Light" w:eastAsia="Times New Roman" w:hAnsi="AECOM Sans Light" w:cs="AECOM Sans Light"/>
                <w:b/>
                <w:bCs/>
                <w:sz w:val="18"/>
                <w:szCs w:val="18"/>
                <w:lang w:eastAsia="en-GB"/>
              </w:rPr>
              <w:t>Appraisal Criterion</w:t>
            </w:r>
          </w:p>
        </w:tc>
        <w:tc>
          <w:tcPr>
            <w:tcW w:w="5015" w:type="dxa"/>
            <w:gridSpan w:val="5"/>
            <w:tcBorders>
              <w:top w:val="single" w:sz="4" w:space="0" w:color="auto"/>
              <w:left w:val="nil"/>
              <w:bottom w:val="single" w:sz="4" w:space="0" w:color="auto"/>
              <w:right w:val="single" w:sz="4" w:space="0" w:color="auto"/>
            </w:tcBorders>
            <w:shd w:val="clear" w:color="auto" w:fill="00B5E2"/>
            <w:vAlign w:val="center"/>
          </w:tcPr>
          <w:p w14:paraId="6913960F" w14:textId="77777777" w:rsidR="00DC4A9E" w:rsidRPr="00021B22" w:rsidRDefault="00DC4A9E" w:rsidP="00DC4A9E">
            <w:pPr>
              <w:spacing w:after="0" w:line="240" w:lineRule="auto"/>
              <w:jc w:val="center"/>
              <w:rPr>
                <w:rFonts w:ascii="AECOM Sans Light" w:eastAsia="Times New Roman" w:hAnsi="AECOM Sans Light" w:cs="AECOM Sans Light"/>
                <w:b/>
                <w:bCs/>
                <w:sz w:val="18"/>
                <w:szCs w:val="18"/>
                <w:lang w:eastAsia="en-GB"/>
              </w:rPr>
            </w:pPr>
            <w:r w:rsidRPr="00021B22">
              <w:rPr>
                <w:rFonts w:ascii="AECOM Sans Light" w:eastAsia="Times New Roman" w:hAnsi="AECOM Sans Light" w:cs="AECOM Sans Light"/>
                <w:b/>
                <w:bCs/>
                <w:sz w:val="18"/>
                <w:szCs w:val="18"/>
                <w:lang w:eastAsia="en-GB"/>
              </w:rPr>
              <w:t>Appraisal Score</w:t>
            </w:r>
          </w:p>
        </w:tc>
      </w:tr>
      <w:tr w:rsidR="00021B22" w:rsidRPr="00021B22" w14:paraId="65A4E072" w14:textId="77777777" w:rsidTr="00DC4A9E">
        <w:trPr>
          <w:trHeight w:val="370"/>
          <w:tblHeader/>
        </w:trPr>
        <w:tc>
          <w:tcPr>
            <w:tcW w:w="1836" w:type="dxa"/>
            <w:vMerge/>
            <w:tcBorders>
              <w:left w:val="single" w:sz="4" w:space="0" w:color="auto"/>
              <w:bottom w:val="single" w:sz="4" w:space="0" w:color="auto"/>
              <w:right w:val="single" w:sz="4" w:space="0" w:color="auto"/>
            </w:tcBorders>
            <w:shd w:val="clear" w:color="auto" w:fill="00B5E2"/>
            <w:vAlign w:val="center"/>
          </w:tcPr>
          <w:p w14:paraId="13481FEC" w14:textId="77777777" w:rsidR="00DC4A9E" w:rsidRPr="00021B22" w:rsidRDefault="00DC4A9E" w:rsidP="00DC4A9E">
            <w:pPr>
              <w:spacing w:after="0" w:line="240" w:lineRule="auto"/>
              <w:rPr>
                <w:rFonts w:ascii="AECOM Sans Light" w:eastAsia="Times New Roman" w:hAnsi="AECOM Sans Light" w:cs="AECOM Sans Light"/>
                <w:b/>
                <w:bCs/>
                <w:sz w:val="18"/>
                <w:szCs w:val="18"/>
                <w:lang w:eastAsia="en-GB"/>
              </w:rPr>
            </w:pPr>
          </w:p>
        </w:tc>
        <w:tc>
          <w:tcPr>
            <w:tcW w:w="2443" w:type="dxa"/>
            <w:vMerge/>
            <w:tcBorders>
              <w:left w:val="nil"/>
              <w:bottom w:val="single" w:sz="4" w:space="0" w:color="auto"/>
              <w:right w:val="single" w:sz="4" w:space="0" w:color="auto"/>
            </w:tcBorders>
            <w:shd w:val="clear" w:color="auto" w:fill="00B5E2"/>
            <w:vAlign w:val="center"/>
          </w:tcPr>
          <w:p w14:paraId="50FD4CCB" w14:textId="77777777" w:rsidR="00DC4A9E" w:rsidRPr="00021B22" w:rsidRDefault="00DC4A9E" w:rsidP="00DC4A9E">
            <w:pPr>
              <w:spacing w:after="0" w:line="240" w:lineRule="auto"/>
              <w:rPr>
                <w:rFonts w:ascii="AECOM Sans Light" w:eastAsia="Times New Roman" w:hAnsi="AECOM Sans Light" w:cs="AECOM Sans Light"/>
                <w:b/>
                <w:bCs/>
                <w:sz w:val="18"/>
                <w:szCs w:val="18"/>
                <w:lang w:eastAsia="en-GB"/>
              </w:rPr>
            </w:pPr>
          </w:p>
        </w:tc>
        <w:tc>
          <w:tcPr>
            <w:tcW w:w="4654" w:type="dxa"/>
            <w:vMerge/>
            <w:tcBorders>
              <w:left w:val="nil"/>
              <w:bottom w:val="single" w:sz="4" w:space="0" w:color="auto"/>
              <w:right w:val="single" w:sz="4" w:space="0" w:color="auto"/>
            </w:tcBorders>
            <w:shd w:val="clear" w:color="auto" w:fill="00B5E2"/>
            <w:noWrap/>
            <w:vAlign w:val="center"/>
          </w:tcPr>
          <w:p w14:paraId="2077DA18" w14:textId="77777777" w:rsidR="00DC4A9E" w:rsidRPr="00021B22" w:rsidRDefault="00DC4A9E" w:rsidP="00DC4A9E">
            <w:pPr>
              <w:spacing w:after="0" w:line="240" w:lineRule="auto"/>
              <w:rPr>
                <w:rFonts w:ascii="AECOM Sans Light" w:eastAsia="Times New Roman" w:hAnsi="AECOM Sans Light" w:cs="AECOM Sans Light"/>
                <w:b/>
                <w:bCs/>
                <w:sz w:val="18"/>
                <w:szCs w:val="18"/>
                <w:lang w:eastAsia="en-GB"/>
              </w:rPr>
            </w:pPr>
          </w:p>
        </w:tc>
        <w:tc>
          <w:tcPr>
            <w:tcW w:w="1003" w:type="dxa"/>
            <w:tcBorders>
              <w:top w:val="single" w:sz="4" w:space="0" w:color="auto"/>
              <w:left w:val="nil"/>
              <w:bottom w:val="single" w:sz="4" w:space="0" w:color="auto"/>
              <w:right w:val="single" w:sz="4" w:space="0" w:color="auto"/>
            </w:tcBorders>
            <w:shd w:val="clear" w:color="auto" w:fill="C6F3FF"/>
            <w:vAlign w:val="center"/>
          </w:tcPr>
          <w:p w14:paraId="30F69619" w14:textId="77777777" w:rsidR="00DC4A9E" w:rsidRPr="00021B22" w:rsidRDefault="00DC4A9E" w:rsidP="00DC4A9E">
            <w:pPr>
              <w:spacing w:after="0" w:line="240" w:lineRule="auto"/>
              <w:jc w:val="center"/>
              <w:rPr>
                <w:rFonts w:ascii="AECOM Sans Light" w:eastAsia="Times New Roman" w:hAnsi="AECOM Sans Light" w:cs="AECOM Sans Light"/>
                <w:bCs/>
                <w:sz w:val="18"/>
                <w:szCs w:val="18"/>
                <w:lang w:eastAsia="en-GB"/>
              </w:rPr>
            </w:pPr>
            <w:r w:rsidRPr="00021B22">
              <w:rPr>
                <w:rFonts w:ascii="AECOM Sans Light" w:eastAsia="Times New Roman" w:hAnsi="AECOM Sans Light" w:cs="AECOM Sans Light"/>
                <w:bCs/>
                <w:sz w:val="18"/>
                <w:szCs w:val="18"/>
                <w:lang w:eastAsia="en-GB"/>
              </w:rPr>
              <w:t>Option 1</w:t>
            </w:r>
          </w:p>
        </w:tc>
        <w:tc>
          <w:tcPr>
            <w:tcW w:w="1003" w:type="dxa"/>
            <w:tcBorders>
              <w:top w:val="single" w:sz="4" w:space="0" w:color="auto"/>
              <w:left w:val="nil"/>
              <w:bottom w:val="single" w:sz="4" w:space="0" w:color="auto"/>
              <w:right w:val="single" w:sz="4" w:space="0" w:color="auto"/>
            </w:tcBorders>
            <w:shd w:val="clear" w:color="auto" w:fill="C6F3FF"/>
            <w:vAlign w:val="center"/>
          </w:tcPr>
          <w:p w14:paraId="7EE90C94" w14:textId="77777777" w:rsidR="00DC4A9E" w:rsidRPr="00021B22" w:rsidRDefault="00DC4A9E" w:rsidP="00DC4A9E">
            <w:pPr>
              <w:spacing w:after="0" w:line="240" w:lineRule="auto"/>
              <w:jc w:val="center"/>
              <w:rPr>
                <w:rFonts w:ascii="AECOM Sans Light" w:eastAsia="Times New Roman" w:hAnsi="AECOM Sans Light" w:cs="AECOM Sans Light"/>
                <w:bCs/>
                <w:sz w:val="18"/>
                <w:szCs w:val="18"/>
                <w:lang w:eastAsia="en-GB"/>
              </w:rPr>
            </w:pPr>
            <w:r w:rsidRPr="00021B22">
              <w:rPr>
                <w:rFonts w:ascii="AECOM Sans Light" w:eastAsia="Times New Roman" w:hAnsi="AECOM Sans Light" w:cs="AECOM Sans Light"/>
                <w:bCs/>
                <w:sz w:val="18"/>
                <w:szCs w:val="18"/>
                <w:lang w:eastAsia="en-GB"/>
              </w:rPr>
              <w:t>Option 2</w:t>
            </w:r>
          </w:p>
        </w:tc>
        <w:tc>
          <w:tcPr>
            <w:tcW w:w="1003" w:type="dxa"/>
            <w:tcBorders>
              <w:top w:val="single" w:sz="4" w:space="0" w:color="auto"/>
              <w:left w:val="nil"/>
              <w:bottom w:val="single" w:sz="4" w:space="0" w:color="auto"/>
              <w:right w:val="single" w:sz="4" w:space="0" w:color="auto"/>
            </w:tcBorders>
            <w:shd w:val="clear" w:color="auto" w:fill="C6F3FF"/>
            <w:vAlign w:val="center"/>
          </w:tcPr>
          <w:p w14:paraId="4D947F41" w14:textId="77777777" w:rsidR="00DC4A9E" w:rsidRPr="00021B22" w:rsidRDefault="00DC4A9E" w:rsidP="00DC4A9E">
            <w:pPr>
              <w:spacing w:after="0" w:line="240" w:lineRule="auto"/>
              <w:jc w:val="center"/>
              <w:rPr>
                <w:rFonts w:ascii="AECOM Sans Light" w:eastAsia="Times New Roman" w:hAnsi="AECOM Sans Light" w:cs="AECOM Sans Light"/>
                <w:bCs/>
                <w:sz w:val="18"/>
                <w:szCs w:val="18"/>
                <w:lang w:eastAsia="en-GB"/>
              </w:rPr>
            </w:pPr>
            <w:r w:rsidRPr="00021B22">
              <w:rPr>
                <w:rFonts w:ascii="AECOM Sans Light" w:eastAsia="Times New Roman" w:hAnsi="AECOM Sans Light" w:cs="AECOM Sans Light"/>
                <w:bCs/>
                <w:sz w:val="18"/>
                <w:szCs w:val="18"/>
                <w:lang w:eastAsia="en-GB"/>
              </w:rPr>
              <w:t>Option 3</w:t>
            </w:r>
          </w:p>
        </w:tc>
        <w:tc>
          <w:tcPr>
            <w:tcW w:w="1003" w:type="dxa"/>
            <w:tcBorders>
              <w:top w:val="single" w:sz="4" w:space="0" w:color="auto"/>
              <w:left w:val="nil"/>
              <w:bottom w:val="single" w:sz="4" w:space="0" w:color="auto"/>
              <w:right w:val="single" w:sz="4" w:space="0" w:color="auto"/>
            </w:tcBorders>
            <w:shd w:val="clear" w:color="auto" w:fill="C6F3FF"/>
            <w:vAlign w:val="center"/>
          </w:tcPr>
          <w:p w14:paraId="54E2B342" w14:textId="77777777" w:rsidR="00DC4A9E" w:rsidRPr="00021B22" w:rsidRDefault="00DC4A9E" w:rsidP="00DC4A9E">
            <w:pPr>
              <w:spacing w:after="0" w:line="240" w:lineRule="auto"/>
              <w:jc w:val="center"/>
              <w:rPr>
                <w:rFonts w:ascii="AECOM Sans Light" w:eastAsia="Times New Roman" w:hAnsi="AECOM Sans Light" w:cs="AECOM Sans Light"/>
                <w:bCs/>
                <w:sz w:val="18"/>
                <w:szCs w:val="18"/>
                <w:lang w:eastAsia="en-GB"/>
              </w:rPr>
            </w:pPr>
            <w:r w:rsidRPr="00021B22">
              <w:rPr>
                <w:rFonts w:ascii="AECOM Sans Light" w:eastAsia="Times New Roman" w:hAnsi="AECOM Sans Light" w:cs="AECOM Sans Light"/>
                <w:bCs/>
                <w:sz w:val="18"/>
                <w:szCs w:val="18"/>
                <w:lang w:eastAsia="en-GB"/>
              </w:rPr>
              <w:t>Option 4</w:t>
            </w:r>
          </w:p>
        </w:tc>
        <w:tc>
          <w:tcPr>
            <w:tcW w:w="1003" w:type="dxa"/>
            <w:tcBorders>
              <w:top w:val="single" w:sz="4" w:space="0" w:color="auto"/>
              <w:left w:val="nil"/>
              <w:bottom w:val="single" w:sz="4" w:space="0" w:color="auto"/>
              <w:right w:val="single" w:sz="4" w:space="0" w:color="auto"/>
            </w:tcBorders>
            <w:shd w:val="clear" w:color="auto" w:fill="C6F3FF"/>
            <w:vAlign w:val="center"/>
          </w:tcPr>
          <w:p w14:paraId="1803D23B" w14:textId="77777777" w:rsidR="00DC4A9E" w:rsidRPr="00021B22" w:rsidRDefault="00DC4A9E" w:rsidP="00DC4A9E">
            <w:pPr>
              <w:spacing w:after="0" w:line="240" w:lineRule="auto"/>
              <w:jc w:val="center"/>
              <w:rPr>
                <w:rFonts w:ascii="AECOM Sans Light" w:eastAsia="Times New Roman" w:hAnsi="AECOM Sans Light" w:cs="AECOM Sans Light"/>
                <w:bCs/>
                <w:sz w:val="18"/>
                <w:szCs w:val="18"/>
                <w:lang w:eastAsia="en-GB"/>
              </w:rPr>
            </w:pPr>
            <w:r w:rsidRPr="00021B22">
              <w:rPr>
                <w:rFonts w:ascii="AECOM Sans Light" w:eastAsia="Times New Roman" w:hAnsi="AECOM Sans Light" w:cs="AECOM Sans Light"/>
                <w:bCs/>
                <w:sz w:val="18"/>
                <w:szCs w:val="18"/>
                <w:lang w:eastAsia="en-GB"/>
              </w:rPr>
              <w:t>Option 5</w:t>
            </w:r>
          </w:p>
        </w:tc>
      </w:tr>
      <w:tr w:rsidR="00021B22" w:rsidRPr="00021B22" w14:paraId="6945E4B8" w14:textId="77777777" w:rsidTr="00DC4A9E">
        <w:trPr>
          <w:trHeight w:val="315"/>
        </w:trPr>
        <w:tc>
          <w:tcPr>
            <w:tcW w:w="1836" w:type="dxa"/>
            <w:vMerge w:val="restart"/>
            <w:tcBorders>
              <w:top w:val="nil"/>
              <w:left w:val="single" w:sz="4" w:space="0" w:color="auto"/>
              <w:right w:val="single" w:sz="4" w:space="0" w:color="auto"/>
            </w:tcBorders>
            <w:shd w:val="clear" w:color="auto" w:fill="C6F3FF"/>
            <w:vAlign w:val="center"/>
          </w:tcPr>
          <w:p w14:paraId="01436C68"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Environment</w:t>
            </w:r>
          </w:p>
        </w:tc>
        <w:tc>
          <w:tcPr>
            <w:tcW w:w="2443" w:type="dxa"/>
            <w:tcBorders>
              <w:top w:val="nil"/>
              <w:left w:val="single" w:sz="4" w:space="0" w:color="auto"/>
              <w:bottom w:val="single" w:sz="4" w:space="0" w:color="auto"/>
              <w:right w:val="single" w:sz="4" w:space="0" w:color="auto"/>
            </w:tcBorders>
            <w:vAlign w:val="center"/>
          </w:tcPr>
          <w:p w14:paraId="12A26FFB"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Air Quality</w:t>
            </w:r>
          </w:p>
        </w:tc>
        <w:tc>
          <w:tcPr>
            <w:tcW w:w="4654" w:type="dxa"/>
            <w:tcBorders>
              <w:top w:val="nil"/>
              <w:left w:val="nil"/>
              <w:bottom w:val="single" w:sz="4" w:space="0" w:color="auto"/>
              <w:right w:val="single" w:sz="4" w:space="0" w:color="auto"/>
            </w:tcBorders>
            <w:shd w:val="clear" w:color="auto" w:fill="auto"/>
            <w:vAlign w:val="center"/>
          </w:tcPr>
          <w:p w14:paraId="7CAEAB60"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Minimise emissions to provide a high-quality environment within the Scheme</w:t>
            </w:r>
          </w:p>
        </w:tc>
        <w:tc>
          <w:tcPr>
            <w:tcW w:w="1003" w:type="dxa"/>
            <w:tcBorders>
              <w:top w:val="single" w:sz="4" w:space="0" w:color="auto"/>
              <w:left w:val="single" w:sz="4" w:space="0" w:color="auto"/>
              <w:bottom w:val="single" w:sz="4" w:space="0" w:color="auto"/>
              <w:right w:val="single" w:sz="4" w:space="0" w:color="auto"/>
            </w:tcBorders>
            <w:shd w:val="clear" w:color="auto" w:fill="FF0000"/>
            <w:vAlign w:val="center"/>
          </w:tcPr>
          <w:p w14:paraId="53F17A3F"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single" w:sz="4" w:space="0" w:color="auto"/>
              <w:left w:val="nil"/>
              <w:bottom w:val="single" w:sz="4" w:space="0" w:color="auto"/>
              <w:right w:val="single" w:sz="4" w:space="0" w:color="auto"/>
            </w:tcBorders>
            <w:shd w:val="clear" w:color="auto" w:fill="FFC000"/>
            <w:vAlign w:val="center"/>
          </w:tcPr>
          <w:p w14:paraId="71EBA890"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single" w:sz="4" w:space="0" w:color="auto"/>
              <w:left w:val="nil"/>
              <w:bottom w:val="single" w:sz="4" w:space="0" w:color="auto"/>
              <w:right w:val="single" w:sz="4" w:space="0" w:color="auto"/>
            </w:tcBorders>
            <w:shd w:val="clear" w:color="auto" w:fill="C4FF3E"/>
            <w:vAlign w:val="center"/>
          </w:tcPr>
          <w:p w14:paraId="78AE88CE"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single" w:sz="4" w:space="0" w:color="auto"/>
              <w:left w:val="nil"/>
              <w:bottom w:val="single" w:sz="4" w:space="0" w:color="auto"/>
              <w:right w:val="single" w:sz="4" w:space="0" w:color="auto"/>
            </w:tcBorders>
            <w:shd w:val="clear" w:color="auto" w:fill="00B050"/>
            <w:vAlign w:val="center"/>
          </w:tcPr>
          <w:p w14:paraId="5AC347A3"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single" w:sz="4" w:space="0" w:color="auto"/>
              <w:left w:val="nil"/>
              <w:bottom w:val="single" w:sz="4" w:space="0" w:color="auto"/>
              <w:right w:val="single" w:sz="4" w:space="0" w:color="auto"/>
            </w:tcBorders>
            <w:shd w:val="clear" w:color="auto" w:fill="FFC000"/>
            <w:vAlign w:val="center"/>
          </w:tcPr>
          <w:p w14:paraId="10A01B59"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r>
      <w:tr w:rsidR="00021B22" w:rsidRPr="00021B22" w14:paraId="4BF745FD" w14:textId="77777777" w:rsidTr="00DC4A9E">
        <w:trPr>
          <w:trHeight w:val="315"/>
        </w:trPr>
        <w:tc>
          <w:tcPr>
            <w:tcW w:w="1836" w:type="dxa"/>
            <w:vMerge/>
            <w:tcBorders>
              <w:left w:val="single" w:sz="4" w:space="0" w:color="auto"/>
              <w:right w:val="single" w:sz="4" w:space="0" w:color="auto"/>
            </w:tcBorders>
            <w:shd w:val="clear" w:color="auto" w:fill="C6F3FF"/>
            <w:vAlign w:val="center"/>
          </w:tcPr>
          <w:p w14:paraId="39645A4F"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tcBorders>
              <w:top w:val="single" w:sz="4" w:space="0" w:color="auto"/>
              <w:left w:val="single" w:sz="4" w:space="0" w:color="auto"/>
              <w:bottom w:val="single" w:sz="4" w:space="0" w:color="auto"/>
              <w:right w:val="single" w:sz="4" w:space="0" w:color="auto"/>
            </w:tcBorders>
            <w:vAlign w:val="center"/>
          </w:tcPr>
          <w:p w14:paraId="59E95F04"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Noise &amp; Vibration</w:t>
            </w:r>
          </w:p>
          <w:p w14:paraId="68EEFFE1" w14:textId="77777777" w:rsidR="00DC4A9E" w:rsidRPr="00021B22" w:rsidRDefault="00DC4A9E" w:rsidP="00DC4A9E">
            <w:pPr>
              <w:tabs>
                <w:tab w:val="left" w:pos="284"/>
              </w:tabs>
              <w:spacing w:after="0" w:line="240" w:lineRule="auto"/>
              <w:rPr>
                <w:rFonts w:ascii="AECOM Sans Light" w:eastAsia="Times New Roman" w:hAnsi="AECOM Sans Light" w:cs="AECOM Sans Light"/>
                <w:sz w:val="18"/>
                <w:szCs w:val="18"/>
                <w:lang w:eastAsia="en-GB"/>
              </w:rPr>
            </w:pPr>
          </w:p>
        </w:tc>
        <w:tc>
          <w:tcPr>
            <w:tcW w:w="4654" w:type="dxa"/>
            <w:tcBorders>
              <w:top w:val="single" w:sz="4" w:space="0" w:color="auto"/>
              <w:left w:val="nil"/>
              <w:bottom w:val="single" w:sz="4" w:space="0" w:color="auto"/>
              <w:right w:val="single" w:sz="4" w:space="0" w:color="auto"/>
            </w:tcBorders>
            <w:shd w:val="clear" w:color="auto" w:fill="auto"/>
            <w:vAlign w:val="center"/>
          </w:tcPr>
          <w:p w14:paraId="33DB5C5E"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Minimise noise and vibration to provide a high-quality environment within the Scheme</w:t>
            </w:r>
          </w:p>
        </w:tc>
        <w:tc>
          <w:tcPr>
            <w:tcW w:w="1003" w:type="dxa"/>
            <w:tcBorders>
              <w:top w:val="nil"/>
              <w:left w:val="single" w:sz="4" w:space="0" w:color="auto"/>
              <w:bottom w:val="single" w:sz="4" w:space="0" w:color="auto"/>
              <w:right w:val="single" w:sz="4" w:space="0" w:color="auto"/>
            </w:tcBorders>
            <w:shd w:val="clear" w:color="auto" w:fill="FFFF00"/>
            <w:vAlign w:val="center"/>
          </w:tcPr>
          <w:p w14:paraId="01733EC5"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nil"/>
              <w:left w:val="nil"/>
              <w:bottom w:val="single" w:sz="4" w:space="0" w:color="auto"/>
              <w:right w:val="single" w:sz="4" w:space="0" w:color="auto"/>
            </w:tcBorders>
            <w:shd w:val="clear" w:color="auto" w:fill="FF0000"/>
            <w:vAlign w:val="center"/>
          </w:tcPr>
          <w:p w14:paraId="3D3BBD05"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C4FF3E"/>
            <w:vAlign w:val="center"/>
          </w:tcPr>
          <w:p w14:paraId="37CF3E29"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nil"/>
              <w:left w:val="nil"/>
              <w:bottom w:val="single" w:sz="4" w:space="0" w:color="auto"/>
              <w:right w:val="single" w:sz="4" w:space="0" w:color="auto"/>
            </w:tcBorders>
            <w:shd w:val="clear" w:color="auto" w:fill="00B050"/>
            <w:vAlign w:val="center"/>
          </w:tcPr>
          <w:p w14:paraId="24908BEE"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FF0000"/>
            <w:vAlign w:val="center"/>
          </w:tcPr>
          <w:p w14:paraId="5854E58D"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r>
      <w:tr w:rsidR="00021B22" w:rsidRPr="00021B22" w14:paraId="065B8C5A" w14:textId="77777777" w:rsidTr="00DC4A9E">
        <w:trPr>
          <w:trHeight w:val="315"/>
        </w:trPr>
        <w:tc>
          <w:tcPr>
            <w:tcW w:w="1836" w:type="dxa"/>
            <w:vMerge/>
            <w:tcBorders>
              <w:left w:val="single" w:sz="4" w:space="0" w:color="auto"/>
              <w:right w:val="single" w:sz="4" w:space="0" w:color="auto"/>
            </w:tcBorders>
            <w:shd w:val="clear" w:color="auto" w:fill="C6F3FF"/>
            <w:vAlign w:val="center"/>
          </w:tcPr>
          <w:p w14:paraId="6844C6BC"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tcBorders>
              <w:top w:val="single" w:sz="4" w:space="0" w:color="auto"/>
              <w:left w:val="single" w:sz="4" w:space="0" w:color="auto"/>
              <w:bottom w:val="single" w:sz="4" w:space="0" w:color="auto"/>
              <w:right w:val="single" w:sz="4" w:space="0" w:color="auto"/>
            </w:tcBorders>
            <w:vAlign w:val="center"/>
          </w:tcPr>
          <w:p w14:paraId="3189139B"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Landscape and Visual Quality</w:t>
            </w:r>
          </w:p>
        </w:tc>
        <w:tc>
          <w:tcPr>
            <w:tcW w:w="4654" w:type="dxa"/>
            <w:tcBorders>
              <w:top w:val="single" w:sz="4" w:space="0" w:color="auto"/>
              <w:left w:val="nil"/>
              <w:bottom w:val="single" w:sz="4" w:space="0" w:color="auto"/>
              <w:right w:val="single" w:sz="4" w:space="0" w:color="auto"/>
            </w:tcBorders>
            <w:shd w:val="clear" w:color="auto" w:fill="auto"/>
            <w:vAlign w:val="center"/>
          </w:tcPr>
          <w:p w14:paraId="72C1FE11"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Optimise the aesthetical value of the Core Plaza</w:t>
            </w:r>
          </w:p>
        </w:tc>
        <w:tc>
          <w:tcPr>
            <w:tcW w:w="1003" w:type="dxa"/>
            <w:tcBorders>
              <w:top w:val="nil"/>
              <w:left w:val="single" w:sz="4" w:space="0" w:color="auto"/>
              <w:bottom w:val="single" w:sz="4" w:space="0" w:color="auto"/>
              <w:right w:val="single" w:sz="4" w:space="0" w:color="auto"/>
            </w:tcBorders>
            <w:shd w:val="clear" w:color="auto" w:fill="FFFF00"/>
            <w:vAlign w:val="center"/>
          </w:tcPr>
          <w:p w14:paraId="173CCD70"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0</w:t>
            </w:r>
          </w:p>
        </w:tc>
        <w:tc>
          <w:tcPr>
            <w:tcW w:w="1003" w:type="dxa"/>
            <w:tcBorders>
              <w:top w:val="nil"/>
              <w:left w:val="nil"/>
              <w:bottom w:val="single" w:sz="4" w:space="0" w:color="auto"/>
              <w:right w:val="single" w:sz="4" w:space="0" w:color="auto"/>
            </w:tcBorders>
            <w:shd w:val="clear" w:color="auto" w:fill="FF0000"/>
            <w:vAlign w:val="center"/>
          </w:tcPr>
          <w:p w14:paraId="12A1ED86" w14:textId="77777777" w:rsidR="00DC4A9E" w:rsidRPr="00021B22" w:rsidDel="00AA021C"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00B050"/>
            <w:vAlign w:val="center"/>
          </w:tcPr>
          <w:p w14:paraId="6921EB1E" w14:textId="77777777" w:rsidR="00DC4A9E" w:rsidRPr="00021B22" w:rsidDel="00AA021C"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00B050"/>
            <w:vAlign w:val="center"/>
          </w:tcPr>
          <w:p w14:paraId="5545DC00" w14:textId="77777777" w:rsidR="00DC4A9E" w:rsidRPr="00021B22" w:rsidDel="00AA021C"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FF0000"/>
            <w:vAlign w:val="center"/>
          </w:tcPr>
          <w:p w14:paraId="7415E0BC" w14:textId="77777777" w:rsidR="00DC4A9E" w:rsidRPr="00021B22" w:rsidDel="00AA021C"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-2</w:t>
            </w:r>
          </w:p>
        </w:tc>
      </w:tr>
      <w:tr w:rsidR="00021B22" w:rsidRPr="00021B22" w14:paraId="18604302" w14:textId="77777777" w:rsidTr="00DC4A9E">
        <w:trPr>
          <w:trHeight w:val="315"/>
        </w:trPr>
        <w:tc>
          <w:tcPr>
            <w:tcW w:w="1836" w:type="dxa"/>
            <w:vMerge/>
            <w:tcBorders>
              <w:left w:val="single" w:sz="4" w:space="0" w:color="auto"/>
              <w:right w:val="single" w:sz="4" w:space="0" w:color="auto"/>
            </w:tcBorders>
            <w:shd w:val="clear" w:color="auto" w:fill="C6F3FF"/>
            <w:vAlign w:val="center"/>
          </w:tcPr>
          <w:p w14:paraId="01241C82"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vMerge w:val="restart"/>
            <w:tcBorders>
              <w:top w:val="nil"/>
              <w:left w:val="single" w:sz="4" w:space="0" w:color="auto"/>
              <w:right w:val="single" w:sz="4" w:space="0" w:color="auto"/>
            </w:tcBorders>
            <w:vAlign w:val="center"/>
          </w:tcPr>
          <w:p w14:paraId="61666976"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Cultural, Archaeological &amp; Architectural Heritage</w:t>
            </w:r>
          </w:p>
        </w:tc>
        <w:tc>
          <w:tcPr>
            <w:tcW w:w="4654" w:type="dxa"/>
            <w:tcBorders>
              <w:top w:val="nil"/>
              <w:left w:val="nil"/>
              <w:bottom w:val="single" w:sz="4" w:space="0" w:color="auto"/>
              <w:right w:val="single" w:sz="4" w:space="0" w:color="auto"/>
            </w:tcBorders>
            <w:shd w:val="clear" w:color="auto" w:fill="auto"/>
            <w:vAlign w:val="center"/>
          </w:tcPr>
          <w:p w14:paraId="30E8C396"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Optimise the architectural and cultural value of the Core Plaza</w:t>
            </w:r>
          </w:p>
        </w:tc>
        <w:tc>
          <w:tcPr>
            <w:tcW w:w="1003" w:type="dxa"/>
            <w:tcBorders>
              <w:top w:val="nil"/>
              <w:left w:val="single" w:sz="4" w:space="0" w:color="auto"/>
              <w:bottom w:val="single" w:sz="4" w:space="0" w:color="auto"/>
              <w:right w:val="single" w:sz="4" w:space="0" w:color="auto"/>
            </w:tcBorders>
            <w:shd w:val="clear" w:color="auto" w:fill="FFFF00"/>
            <w:vAlign w:val="center"/>
          </w:tcPr>
          <w:p w14:paraId="6CA43020"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nil"/>
              <w:left w:val="nil"/>
              <w:bottom w:val="single" w:sz="4" w:space="0" w:color="auto"/>
              <w:right w:val="single" w:sz="4" w:space="0" w:color="auto"/>
            </w:tcBorders>
            <w:shd w:val="clear" w:color="auto" w:fill="FF0000"/>
            <w:vAlign w:val="center"/>
          </w:tcPr>
          <w:p w14:paraId="71D72545"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00B050"/>
            <w:vAlign w:val="center"/>
          </w:tcPr>
          <w:p w14:paraId="65BDCCC3"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00B050"/>
            <w:vAlign w:val="center"/>
          </w:tcPr>
          <w:p w14:paraId="3D65490E"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FF0000"/>
            <w:vAlign w:val="center"/>
          </w:tcPr>
          <w:p w14:paraId="71B06D5B"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r>
      <w:tr w:rsidR="00021B22" w:rsidRPr="00021B22" w14:paraId="20AA31D9" w14:textId="77777777" w:rsidTr="00DC4A9E">
        <w:trPr>
          <w:trHeight w:val="315"/>
        </w:trPr>
        <w:tc>
          <w:tcPr>
            <w:tcW w:w="1836" w:type="dxa"/>
            <w:vMerge/>
            <w:tcBorders>
              <w:left w:val="single" w:sz="4" w:space="0" w:color="auto"/>
              <w:right w:val="single" w:sz="4" w:space="0" w:color="auto"/>
            </w:tcBorders>
            <w:shd w:val="clear" w:color="auto" w:fill="C6F3FF"/>
            <w:vAlign w:val="center"/>
          </w:tcPr>
          <w:p w14:paraId="3FF75C73"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vMerge/>
            <w:tcBorders>
              <w:left w:val="single" w:sz="4" w:space="0" w:color="auto"/>
              <w:bottom w:val="single" w:sz="4" w:space="0" w:color="auto"/>
              <w:right w:val="single" w:sz="4" w:space="0" w:color="auto"/>
            </w:tcBorders>
            <w:vAlign w:val="center"/>
          </w:tcPr>
          <w:p w14:paraId="0FA26E83"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4654" w:type="dxa"/>
            <w:tcBorders>
              <w:top w:val="nil"/>
              <w:left w:val="nil"/>
              <w:bottom w:val="single" w:sz="4" w:space="0" w:color="auto"/>
              <w:right w:val="single" w:sz="4" w:space="0" w:color="auto"/>
            </w:tcBorders>
            <w:shd w:val="clear" w:color="auto" w:fill="auto"/>
            <w:vAlign w:val="center"/>
          </w:tcPr>
          <w:p w14:paraId="65765D0C"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Provide a cultural space for large civic events</w:t>
            </w:r>
          </w:p>
        </w:tc>
        <w:tc>
          <w:tcPr>
            <w:tcW w:w="1003" w:type="dxa"/>
            <w:tcBorders>
              <w:top w:val="nil"/>
              <w:left w:val="single" w:sz="4" w:space="0" w:color="auto"/>
              <w:bottom w:val="single" w:sz="4" w:space="0" w:color="auto"/>
              <w:right w:val="single" w:sz="4" w:space="0" w:color="auto"/>
            </w:tcBorders>
            <w:shd w:val="clear" w:color="auto" w:fill="FFFF00"/>
            <w:vAlign w:val="center"/>
          </w:tcPr>
          <w:p w14:paraId="08DC7DD0"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nil"/>
              <w:left w:val="nil"/>
              <w:bottom w:val="single" w:sz="4" w:space="0" w:color="auto"/>
              <w:right w:val="single" w:sz="4" w:space="0" w:color="auto"/>
            </w:tcBorders>
            <w:shd w:val="clear" w:color="auto" w:fill="FF0000"/>
            <w:vAlign w:val="center"/>
          </w:tcPr>
          <w:p w14:paraId="0DD34FFC"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00B050"/>
            <w:vAlign w:val="center"/>
          </w:tcPr>
          <w:p w14:paraId="7EB02B98"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00B050"/>
            <w:vAlign w:val="center"/>
          </w:tcPr>
          <w:p w14:paraId="47855723"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FF0000"/>
            <w:vAlign w:val="center"/>
          </w:tcPr>
          <w:p w14:paraId="616CA95D"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r>
      <w:tr w:rsidR="00021B22" w:rsidRPr="00021B22" w14:paraId="3DA3B05B" w14:textId="77777777" w:rsidTr="00DC4A9E">
        <w:trPr>
          <w:trHeight w:val="315"/>
        </w:trPr>
        <w:tc>
          <w:tcPr>
            <w:tcW w:w="1836" w:type="dxa"/>
            <w:vMerge/>
            <w:tcBorders>
              <w:left w:val="single" w:sz="4" w:space="0" w:color="auto"/>
              <w:bottom w:val="single" w:sz="4" w:space="0" w:color="auto"/>
              <w:right w:val="single" w:sz="4" w:space="0" w:color="auto"/>
            </w:tcBorders>
            <w:shd w:val="clear" w:color="auto" w:fill="C6F3FF"/>
            <w:vAlign w:val="center"/>
          </w:tcPr>
          <w:p w14:paraId="3C471C3D"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7097" w:type="dxa"/>
            <w:gridSpan w:val="2"/>
            <w:tcBorders>
              <w:left w:val="single" w:sz="4" w:space="0" w:color="auto"/>
              <w:bottom w:val="single" w:sz="4" w:space="0" w:color="auto"/>
              <w:right w:val="single" w:sz="4" w:space="0" w:color="auto"/>
            </w:tcBorders>
            <w:shd w:val="clear" w:color="auto" w:fill="C6F3FF"/>
            <w:vAlign w:val="center"/>
          </w:tcPr>
          <w:p w14:paraId="0F1311CD" w14:textId="77777777" w:rsidR="00DC4A9E" w:rsidRPr="00021B22" w:rsidRDefault="00DC4A9E" w:rsidP="00DC4A9E">
            <w:pPr>
              <w:spacing w:after="0" w:line="240" w:lineRule="auto"/>
              <w:jc w:val="right"/>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 xml:space="preserve">Criteria Sub-Total (Average) </w:t>
            </w:r>
          </w:p>
        </w:tc>
        <w:tc>
          <w:tcPr>
            <w:tcW w:w="1003" w:type="dxa"/>
            <w:tcBorders>
              <w:top w:val="nil"/>
              <w:left w:val="single" w:sz="4" w:space="0" w:color="auto"/>
              <w:bottom w:val="single" w:sz="4" w:space="0" w:color="auto"/>
              <w:right w:val="single" w:sz="4" w:space="0" w:color="auto"/>
            </w:tcBorders>
            <w:shd w:val="clear" w:color="auto" w:fill="C6F3FF"/>
            <w:vAlign w:val="center"/>
          </w:tcPr>
          <w:p w14:paraId="699E9D71"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-0.4</w:t>
            </w:r>
          </w:p>
        </w:tc>
        <w:tc>
          <w:tcPr>
            <w:tcW w:w="1003" w:type="dxa"/>
            <w:tcBorders>
              <w:top w:val="nil"/>
              <w:left w:val="nil"/>
              <w:bottom w:val="single" w:sz="4" w:space="0" w:color="auto"/>
              <w:right w:val="single" w:sz="4" w:space="0" w:color="auto"/>
            </w:tcBorders>
            <w:shd w:val="clear" w:color="auto" w:fill="C6F3FF"/>
            <w:vAlign w:val="center"/>
          </w:tcPr>
          <w:p w14:paraId="050AEC32"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-1.8</w:t>
            </w:r>
          </w:p>
        </w:tc>
        <w:tc>
          <w:tcPr>
            <w:tcW w:w="1003" w:type="dxa"/>
            <w:tcBorders>
              <w:top w:val="nil"/>
              <w:left w:val="nil"/>
              <w:bottom w:val="single" w:sz="4" w:space="0" w:color="auto"/>
              <w:right w:val="single" w:sz="4" w:space="0" w:color="auto"/>
            </w:tcBorders>
            <w:shd w:val="clear" w:color="auto" w:fill="C6F3FF"/>
            <w:vAlign w:val="center"/>
          </w:tcPr>
          <w:p w14:paraId="0F13DC1C"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1.6</w:t>
            </w:r>
          </w:p>
        </w:tc>
        <w:tc>
          <w:tcPr>
            <w:tcW w:w="1003" w:type="dxa"/>
            <w:tcBorders>
              <w:top w:val="nil"/>
              <w:left w:val="nil"/>
              <w:bottom w:val="single" w:sz="4" w:space="0" w:color="auto"/>
              <w:right w:val="single" w:sz="4" w:space="0" w:color="auto"/>
            </w:tcBorders>
            <w:shd w:val="clear" w:color="auto" w:fill="C6F3FF"/>
            <w:vAlign w:val="center"/>
          </w:tcPr>
          <w:p w14:paraId="07EFDC84"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C6F3FF"/>
            <w:vAlign w:val="center"/>
          </w:tcPr>
          <w:p w14:paraId="17EB6C3A"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-1.8</w:t>
            </w:r>
          </w:p>
        </w:tc>
      </w:tr>
      <w:tr w:rsidR="00021B22" w:rsidRPr="00021B22" w14:paraId="231B2F47" w14:textId="77777777" w:rsidTr="00DC4A9E">
        <w:trPr>
          <w:trHeight w:val="315"/>
        </w:trPr>
        <w:tc>
          <w:tcPr>
            <w:tcW w:w="1836" w:type="dxa"/>
            <w:vMerge w:val="restart"/>
            <w:tcBorders>
              <w:left w:val="single" w:sz="4" w:space="0" w:color="auto"/>
              <w:right w:val="single" w:sz="4" w:space="0" w:color="auto"/>
            </w:tcBorders>
            <w:shd w:val="clear" w:color="auto" w:fill="C6F3FF"/>
            <w:vAlign w:val="center"/>
          </w:tcPr>
          <w:p w14:paraId="4BB1713E"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Accessibility &amp; Social Inclusion</w:t>
            </w:r>
          </w:p>
        </w:tc>
        <w:tc>
          <w:tcPr>
            <w:tcW w:w="2443" w:type="dxa"/>
            <w:vMerge w:val="restart"/>
            <w:tcBorders>
              <w:left w:val="single" w:sz="4" w:space="0" w:color="auto"/>
              <w:right w:val="single" w:sz="4" w:space="0" w:color="auto"/>
            </w:tcBorders>
            <w:vAlign w:val="center"/>
          </w:tcPr>
          <w:p w14:paraId="71523DB9"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Vulnerable Groups</w:t>
            </w:r>
          </w:p>
        </w:tc>
        <w:tc>
          <w:tcPr>
            <w:tcW w:w="4654" w:type="dxa"/>
            <w:tcBorders>
              <w:top w:val="nil"/>
              <w:left w:val="nil"/>
              <w:bottom w:val="single" w:sz="4" w:space="0" w:color="auto"/>
              <w:right w:val="single" w:sz="4" w:space="0" w:color="auto"/>
            </w:tcBorders>
            <w:shd w:val="clear" w:color="auto" w:fill="auto"/>
            <w:vAlign w:val="center"/>
          </w:tcPr>
          <w:p w14:paraId="7B16D91D"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 xml:space="preserve">Ensure the environment throughout the scheme is accessible for people with disabilities </w:t>
            </w:r>
          </w:p>
        </w:tc>
        <w:tc>
          <w:tcPr>
            <w:tcW w:w="1003" w:type="dxa"/>
            <w:tcBorders>
              <w:top w:val="single" w:sz="4" w:space="0" w:color="auto"/>
              <w:left w:val="single" w:sz="4" w:space="0" w:color="auto"/>
              <w:bottom w:val="single" w:sz="4" w:space="0" w:color="auto"/>
              <w:right w:val="single" w:sz="4" w:space="0" w:color="auto"/>
            </w:tcBorders>
            <w:shd w:val="clear" w:color="auto" w:fill="FFC000"/>
            <w:vAlign w:val="center"/>
          </w:tcPr>
          <w:p w14:paraId="369437EE"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bookmarkStart w:id="2" w:name="RANGE!F25"/>
            <w:r w:rsidRPr="00021B22">
              <w:rPr>
                <w:rFonts w:ascii="AECOM Sans Light" w:eastAsia="Arial" w:hAnsi="AECOM Sans Light" w:cs="AECOM Sans Light"/>
                <w:kern w:val="18"/>
                <w:sz w:val="18"/>
                <w:szCs w:val="18"/>
              </w:rPr>
              <w:t>-1</w:t>
            </w:r>
            <w:bookmarkEnd w:id="2"/>
          </w:p>
        </w:tc>
        <w:tc>
          <w:tcPr>
            <w:tcW w:w="1003" w:type="dxa"/>
            <w:tcBorders>
              <w:top w:val="single" w:sz="4" w:space="0" w:color="auto"/>
              <w:left w:val="nil"/>
              <w:bottom w:val="single" w:sz="4" w:space="0" w:color="auto"/>
              <w:right w:val="single" w:sz="4" w:space="0" w:color="auto"/>
            </w:tcBorders>
            <w:shd w:val="clear" w:color="auto" w:fill="FF0000"/>
            <w:vAlign w:val="center"/>
          </w:tcPr>
          <w:p w14:paraId="6F326BD1"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single" w:sz="4" w:space="0" w:color="auto"/>
              <w:left w:val="nil"/>
              <w:bottom w:val="single" w:sz="4" w:space="0" w:color="auto"/>
              <w:right w:val="single" w:sz="4" w:space="0" w:color="auto"/>
            </w:tcBorders>
            <w:shd w:val="clear" w:color="auto" w:fill="00B050"/>
            <w:vAlign w:val="center"/>
          </w:tcPr>
          <w:p w14:paraId="7C5F2044"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single" w:sz="4" w:space="0" w:color="auto"/>
              <w:left w:val="nil"/>
              <w:bottom w:val="single" w:sz="4" w:space="0" w:color="auto"/>
              <w:right w:val="single" w:sz="4" w:space="0" w:color="auto"/>
            </w:tcBorders>
            <w:shd w:val="clear" w:color="auto" w:fill="C4FF3E"/>
            <w:vAlign w:val="center"/>
          </w:tcPr>
          <w:p w14:paraId="6865CDE8"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single" w:sz="4" w:space="0" w:color="auto"/>
              <w:left w:val="nil"/>
              <w:bottom w:val="single" w:sz="4" w:space="0" w:color="auto"/>
              <w:right w:val="single" w:sz="4" w:space="0" w:color="auto"/>
            </w:tcBorders>
            <w:shd w:val="clear" w:color="auto" w:fill="FF0000"/>
            <w:vAlign w:val="center"/>
          </w:tcPr>
          <w:p w14:paraId="24992B34"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r>
      <w:tr w:rsidR="00021B22" w:rsidRPr="00021B22" w14:paraId="1D896133" w14:textId="77777777" w:rsidTr="00DC4A9E">
        <w:trPr>
          <w:trHeight w:val="315"/>
        </w:trPr>
        <w:tc>
          <w:tcPr>
            <w:tcW w:w="1836" w:type="dxa"/>
            <w:vMerge/>
            <w:tcBorders>
              <w:left w:val="single" w:sz="4" w:space="0" w:color="auto"/>
              <w:right w:val="single" w:sz="4" w:space="0" w:color="auto"/>
            </w:tcBorders>
            <w:shd w:val="clear" w:color="auto" w:fill="C6F3FF"/>
            <w:vAlign w:val="center"/>
          </w:tcPr>
          <w:p w14:paraId="64F171E9"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vMerge/>
            <w:tcBorders>
              <w:left w:val="single" w:sz="4" w:space="0" w:color="auto"/>
              <w:bottom w:val="single" w:sz="4" w:space="0" w:color="auto"/>
              <w:right w:val="single" w:sz="4" w:space="0" w:color="auto"/>
            </w:tcBorders>
            <w:vAlign w:val="center"/>
          </w:tcPr>
          <w:p w14:paraId="1DABDD8D"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4654" w:type="dxa"/>
            <w:tcBorders>
              <w:top w:val="nil"/>
              <w:left w:val="nil"/>
              <w:bottom w:val="single" w:sz="4" w:space="0" w:color="auto"/>
              <w:right w:val="single" w:sz="4" w:space="0" w:color="auto"/>
            </w:tcBorders>
            <w:shd w:val="clear" w:color="auto" w:fill="auto"/>
            <w:vAlign w:val="center"/>
          </w:tcPr>
          <w:p w14:paraId="655F1EE5"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 xml:space="preserve">Provide a vibrant socially inclusive space for all to rest and enjoy </w:t>
            </w:r>
          </w:p>
        </w:tc>
        <w:tc>
          <w:tcPr>
            <w:tcW w:w="1003" w:type="dxa"/>
            <w:tcBorders>
              <w:top w:val="nil"/>
              <w:left w:val="single" w:sz="4" w:space="0" w:color="auto"/>
              <w:bottom w:val="single" w:sz="4" w:space="0" w:color="auto"/>
              <w:right w:val="single" w:sz="4" w:space="0" w:color="auto"/>
            </w:tcBorders>
            <w:shd w:val="clear" w:color="auto" w:fill="FFFF00"/>
            <w:vAlign w:val="center"/>
          </w:tcPr>
          <w:p w14:paraId="0D312BA2"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nil"/>
              <w:left w:val="nil"/>
              <w:bottom w:val="single" w:sz="4" w:space="0" w:color="auto"/>
              <w:right w:val="single" w:sz="4" w:space="0" w:color="auto"/>
            </w:tcBorders>
            <w:shd w:val="clear" w:color="auto" w:fill="FF0000"/>
            <w:vAlign w:val="center"/>
          </w:tcPr>
          <w:p w14:paraId="3263A3AB"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C4FF3E"/>
            <w:vAlign w:val="center"/>
          </w:tcPr>
          <w:p w14:paraId="338AAB57"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nil"/>
              <w:left w:val="nil"/>
              <w:bottom w:val="single" w:sz="4" w:space="0" w:color="auto"/>
              <w:right w:val="single" w:sz="4" w:space="0" w:color="auto"/>
            </w:tcBorders>
            <w:shd w:val="clear" w:color="auto" w:fill="00B050"/>
            <w:vAlign w:val="center"/>
          </w:tcPr>
          <w:p w14:paraId="69DC08BC"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FF0000"/>
            <w:vAlign w:val="center"/>
          </w:tcPr>
          <w:p w14:paraId="39481639"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r>
      <w:tr w:rsidR="00021B22" w:rsidRPr="00021B22" w14:paraId="79FD64D8" w14:textId="77777777" w:rsidTr="00DC4A9E">
        <w:trPr>
          <w:trHeight w:val="315"/>
        </w:trPr>
        <w:tc>
          <w:tcPr>
            <w:tcW w:w="1836" w:type="dxa"/>
            <w:vMerge/>
            <w:tcBorders>
              <w:left w:val="single" w:sz="4" w:space="0" w:color="auto"/>
              <w:bottom w:val="single" w:sz="4" w:space="0" w:color="auto"/>
              <w:right w:val="single" w:sz="4" w:space="0" w:color="auto"/>
            </w:tcBorders>
            <w:shd w:val="clear" w:color="auto" w:fill="C6F3FF"/>
            <w:vAlign w:val="center"/>
          </w:tcPr>
          <w:p w14:paraId="3A62A8DC"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7097" w:type="dxa"/>
            <w:gridSpan w:val="2"/>
            <w:tcBorders>
              <w:left w:val="single" w:sz="4" w:space="0" w:color="auto"/>
              <w:bottom w:val="single" w:sz="4" w:space="0" w:color="auto"/>
              <w:right w:val="single" w:sz="4" w:space="0" w:color="auto"/>
            </w:tcBorders>
            <w:shd w:val="clear" w:color="auto" w:fill="C6F3FF"/>
            <w:vAlign w:val="center"/>
          </w:tcPr>
          <w:p w14:paraId="75F4D6C3" w14:textId="77777777" w:rsidR="00DC4A9E" w:rsidRPr="00021B22" w:rsidRDefault="00DC4A9E" w:rsidP="00DC4A9E">
            <w:pPr>
              <w:spacing w:after="0" w:line="240" w:lineRule="auto"/>
              <w:jc w:val="right"/>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Criteria  Sub-Total (Average)</w:t>
            </w:r>
          </w:p>
        </w:tc>
        <w:tc>
          <w:tcPr>
            <w:tcW w:w="1003" w:type="dxa"/>
            <w:tcBorders>
              <w:top w:val="nil"/>
              <w:left w:val="single" w:sz="4" w:space="0" w:color="auto"/>
              <w:bottom w:val="single" w:sz="4" w:space="0" w:color="auto"/>
              <w:right w:val="single" w:sz="4" w:space="0" w:color="auto"/>
            </w:tcBorders>
            <w:shd w:val="clear" w:color="auto" w:fill="C6F3FF"/>
            <w:vAlign w:val="center"/>
          </w:tcPr>
          <w:p w14:paraId="4CDFE4AF"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-0.5</w:t>
            </w:r>
          </w:p>
        </w:tc>
        <w:tc>
          <w:tcPr>
            <w:tcW w:w="1003" w:type="dxa"/>
            <w:tcBorders>
              <w:top w:val="nil"/>
              <w:left w:val="nil"/>
              <w:bottom w:val="single" w:sz="4" w:space="0" w:color="auto"/>
              <w:right w:val="single" w:sz="4" w:space="0" w:color="auto"/>
            </w:tcBorders>
            <w:shd w:val="clear" w:color="auto" w:fill="C6F3FF"/>
            <w:vAlign w:val="center"/>
          </w:tcPr>
          <w:p w14:paraId="4454F281"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C6F3FF"/>
            <w:vAlign w:val="center"/>
          </w:tcPr>
          <w:p w14:paraId="09E80C0B"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1.5</w:t>
            </w:r>
          </w:p>
        </w:tc>
        <w:tc>
          <w:tcPr>
            <w:tcW w:w="1003" w:type="dxa"/>
            <w:tcBorders>
              <w:top w:val="nil"/>
              <w:left w:val="nil"/>
              <w:bottom w:val="single" w:sz="4" w:space="0" w:color="auto"/>
              <w:right w:val="single" w:sz="4" w:space="0" w:color="auto"/>
            </w:tcBorders>
            <w:shd w:val="clear" w:color="auto" w:fill="C6F3FF"/>
            <w:vAlign w:val="center"/>
          </w:tcPr>
          <w:p w14:paraId="2622B8EC"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1.5</w:t>
            </w:r>
          </w:p>
        </w:tc>
        <w:tc>
          <w:tcPr>
            <w:tcW w:w="1003" w:type="dxa"/>
            <w:tcBorders>
              <w:top w:val="nil"/>
              <w:left w:val="nil"/>
              <w:bottom w:val="single" w:sz="4" w:space="0" w:color="auto"/>
              <w:right w:val="single" w:sz="4" w:space="0" w:color="auto"/>
            </w:tcBorders>
            <w:shd w:val="clear" w:color="auto" w:fill="C6F3FF"/>
            <w:vAlign w:val="center"/>
          </w:tcPr>
          <w:p w14:paraId="1D1CEEAF"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-2</w:t>
            </w:r>
          </w:p>
        </w:tc>
      </w:tr>
      <w:tr w:rsidR="00021B22" w:rsidRPr="00021B22" w14:paraId="14B0EF48" w14:textId="77777777" w:rsidTr="00DC4A9E">
        <w:trPr>
          <w:trHeight w:val="315"/>
        </w:trPr>
        <w:tc>
          <w:tcPr>
            <w:tcW w:w="1836" w:type="dxa"/>
            <w:vMerge w:val="restart"/>
            <w:tcBorders>
              <w:left w:val="single" w:sz="4" w:space="0" w:color="auto"/>
              <w:right w:val="single" w:sz="4" w:space="0" w:color="auto"/>
            </w:tcBorders>
            <w:shd w:val="clear" w:color="auto" w:fill="C6F3FF"/>
            <w:vAlign w:val="center"/>
          </w:tcPr>
          <w:p w14:paraId="0912B84B"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Physical Activity</w:t>
            </w:r>
          </w:p>
        </w:tc>
        <w:tc>
          <w:tcPr>
            <w:tcW w:w="2443" w:type="dxa"/>
            <w:vMerge w:val="restart"/>
            <w:tcBorders>
              <w:left w:val="single" w:sz="4" w:space="0" w:color="auto"/>
              <w:right w:val="single" w:sz="4" w:space="0" w:color="auto"/>
            </w:tcBorders>
            <w:vAlign w:val="center"/>
          </w:tcPr>
          <w:p w14:paraId="2E34D89C"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Active Travel</w:t>
            </w:r>
          </w:p>
        </w:tc>
        <w:tc>
          <w:tcPr>
            <w:tcW w:w="4654" w:type="dxa"/>
            <w:tcBorders>
              <w:top w:val="nil"/>
              <w:left w:val="nil"/>
              <w:bottom w:val="single" w:sz="4" w:space="0" w:color="auto"/>
              <w:right w:val="single" w:sz="4" w:space="0" w:color="auto"/>
            </w:tcBorders>
            <w:shd w:val="clear" w:color="auto" w:fill="auto"/>
            <w:vAlign w:val="center"/>
          </w:tcPr>
          <w:p w14:paraId="3C669776"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Optimise pedestrian movement within the Scheme</w:t>
            </w:r>
          </w:p>
        </w:tc>
        <w:tc>
          <w:tcPr>
            <w:tcW w:w="1003" w:type="dxa"/>
            <w:tcBorders>
              <w:top w:val="single" w:sz="4" w:space="0" w:color="auto"/>
              <w:left w:val="single" w:sz="4" w:space="0" w:color="auto"/>
              <w:bottom w:val="single" w:sz="4" w:space="0" w:color="auto"/>
              <w:right w:val="single" w:sz="4" w:space="0" w:color="auto"/>
            </w:tcBorders>
            <w:shd w:val="clear" w:color="auto" w:fill="FFFF00"/>
            <w:vAlign w:val="center"/>
          </w:tcPr>
          <w:p w14:paraId="46CD6BF3"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single" w:sz="4" w:space="0" w:color="auto"/>
              <w:left w:val="nil"/>
              <w:bottom w:val="single" w:sz="4" w:space="0" w:color="auto"/>
              <w:right w:val="single" w:sz="4" w:space="0" w:color="auto"/>
            </w:tcBorders>
            <w:shd w:val="clear" w:color="auto" w:fill="FF0000"/>
            <w:vAlign w:val="center"/>
          </w:tcPr>
          <w:p w14:paraId="51B31A33"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single" w:sz="4" w:space="0" w:color="auto"/>
              <w:left w:val="nil"/>
              <w:bottom w:val="single" w:sz="4" w:space="0" w:color="auto"/>
              <w:right w:val="single" w:sz="4" w:space="0" w:color="auto"/>
            </w:tcBorders>
            <w:shd w:val="clear" w:color="auto" w:fill="C4FF3E"/>
            <w:vAlign w:val="center"/>
          </w:tcPr>
          <w:p w14:paraId="5F00F6F5"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single" w:sz="4" w:space="0" w:color="auto"/>
              <w:left w:val="nil"/>
              <w:bottom w:val="single" w:sz="4" w:space="0" w:color="auto"/>
              <w:right w:val="single" w:sz="4" w:space="0" w:color="auto"/>
            </w:tcBorders>
            <w:shd w:val="clear" w:color="auto" w:fill="00B050"/>
            <w:vAlign w:val="center"/>
          </w:tcPr>
          <w:p w14:paraId="430F0C71"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single" w:sz="4" w:space="0" w:color="auto"/>
              <w:left w:val="nil"/>
              <w:bottom w:val="single" w:sz="4" w:space="0" w:color="auto"/>
              <w:right w:val="single" w:sz="4" w:space="0" w:color="auto"/>
            </w:tcBorders>
            <w:shd w:val="clear" w:color="auto" w:fill="FF0000"/>
            <w:vAlign w:val="center"/>
          </w:tcPr>
          <w:p w14:paraId="335D130F"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r>
      <w:tr w:rsidR="00021B22" w:rsidRPr="00021B22" w14:paraId="4CD128D6" w14:textId="77777777" w:rsidTr="00DC4A9E">
        <w:trPr>
          <w:trHeight w:val="315"/>
        </w:trPr>
        <w:tc>
          <w:tcPr>
            <w:tcW w:w="1836" w:type="dxa"/>
            <w:vMerge/>
            <w:tcBorders>
              <w:left w:val="single" w:sz="4" w:space="0" w:color="auto"/>
              <w:right w:val="single" w:sz="4" w:space="0" w:color="auto"/>
            </w:tcBorders>
            <w:shd w:val="clear" w:color="auto" w:fill="C6F3FF"/>
            <w:vAlign w:val="center"/>
          </w:tcPr>
          <w:p w14:paraId="62D865E9"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vMerge/>
            <w:tcBorders>
              <w:left w:val="single" w:sz="4" w:space="0" w:color="auto"/>
              <w:bottom w:val="single" w:sz="4" w:space="0" w:color="auto"/>
              <w:right w:val="single" w:sz="4" w:space="0" w:color="auto"/>
            </w:tcBorders>
            <w:vAlign w:val="center"/>
          </w:tcPr>
          <w:p w14:paraId="22CA83CC"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4654" w:type="dxa"/>
            <w:tcBorders>
              <w:top w:val="nil"/>
              <w:left w:val="nil"/>
              <w:bottom w:val="single" w:sz="4" w:space="0" w:color="auto"/>
              <w:right w:val="single" w:sz="4" w:space="0" w:color="auto"/>
            </w:tcBorders>
            <w:shd w:val="clear" w:color="auto" w:fill="auto"/>
            <w:vAlign w:val="center"/>
          </w:tcPr>
          <w:p w14:paraId="4E2EEF04"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Optimise cyclist movement within the Scheme</w:t>
            </w:r>
          </w:p>
        </w:tc>
        <w:tc>
          <w:tcPr>
            <w:tcW w:w="1003" w:type="dxa"/>
            <w:tcBorders>
              <w:top w:val="nil"/>
              <w:left w:val="single" w:sz="4" w:space="0" w:color="auto"/>
              <w:bottom w:val="single" w:sz="4" w:space="0" w:color="auto"/>
              <w:right w:val="single" w:sz="4" w:space="0" w:color="auto"/>
            </w:tcBorders>
            <w:shd w:val="clear" w:color="auto" w:fill="FFC000"/>
            <w:vAlign w:val="center"/>
          </w:tcPr>
          <w:p w14:paraId="79945859"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nil"/>
              <w:left w:val="nil"/>
              <w:bottom w:val="single" w:sz="4" w:space="0" w:color="auto"/>
              <w:right w:val="single" w:sz="4" w:space="0" w:color="auto"/>
            </w:tcBorders>
            <w:shd w:val="clear" w:color="auto" w:fill="FF0000"/>
            <w:vAlign w:val="center"/>
          </w:tcPr>
          <w:p w14:paraId="4B0E3DC0"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00B050"/>
            <w:vAlign w:val="center"/>
          </w:tcPr>
          <w:p w14:paraId="7C63CC7B"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00B050"/>
            <w:vAlign w:val="center"/>
          </w:tcPr>
          <w:p w14:paraId="1BA893CE"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FF0000"/>
            <w:vAlign w:val="center"/>
          </w:tcPr>
          <w:p w14:paraId="2D3B08E6"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r>
      <w:tr w:rsidR="00021B22" w:rsidRPr="00021B22" w14:paraId="73905407" w14:textId="77777777" w:rsidTr="00DC4A9E">
        <w:trPr>
          <w:trHeight w:val="315"/>
        </w:trPr>
        <w:tc>
          <w:tcPr>
            <w:tcW w:w="1836" w:type="dxa"/>
            <w:vMerge/>
            <w:tcBorders>
              <w:left w:val="single" w:sz="4" w:space="0" w:color="auto"/>
              <w:bottom w:val="single" w:sz="4" w:space="0" w:color="auto"/>
              <w:right w:val="single" w:sz="4" w:space="0" w:color="auto"/>
            </w:tcBorders>
            <w:shd w:val="clear" w:color="auto" w:fill="C6F3FF"/>
            <w:vAlign w:val="center"/>
          </w:tcPr>
          <w:p w14:paraId="0F1865F3"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7097" w:type="dxa"/>
            <w:gridSpan w:val="2"/>
            <w:tcBorders>
              <w:left w:val="single" w:sz="4" w:space="0" w:color="auto"/>
              <w:bottom w:val="single" w:sz="4" w:space="0" w:color="auto"/>
              <w:right w:val="single" w:sz="4" w:space="0" w:color="auto"/>
            </w:tcBorders>
            <w:shd w:val="clear" w:color="auto" w:fill="C6F3FF"/>
            <w:vAlign w:val="center"/>
          </w:tcPr>
          <w:p w14:paraId="360BC457" w14:textId="77777777" w:rsidR="00DC4A9E" w:rsidRPr="00021B22" w:rsidRDefault="00DC4A9E" w:rsidP="00DC4A9E">
            <w:pPr>
              <w:spacing w:after="0" w:line="240" w:lineRule="auto"/>
              <w:jc w:val="right"/>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Criteria Sub-Total (Average)</w:t>
            </w:r>
          </w:p>
        </w:tc>
        <w:tc>
          <w:tcPr>
            <w:tcW w:w="1003" w:type="dxa"/>
            <w:tcBorders>
              <w:top w:val="nil"/>
              <w:left w:val="single" w:sz="4" w:space="0" w:color="auto"/>
              <w:bottom w:val="single" w:sz="4" w:space="0" w:color="auto"/>
              <w:right w:val="single" w:sz="4" w:space="0" w:color="auto"/>
            </w:tcBorders>
            <w:shd w:val="clear" w:color="auto" w:fill="C6F3FF"/>
            <w:vAlign w:val="center"/>
          </w:tcPr>
          <w:p w14:paraId="7C7805C2"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-0.5</w:t>
            </w:r>
          </w:p>
        </w:tc>
        <w:tc>
          <w:tcPr>
            <w:tcW w:w="1003" w:type="dxa"/>
            <w:tcBorders>
              <w:top w:val="nil"/>
              <w:left w:val="nil"/>
              <w:bottom w:val="single" w:sz="4" w:space="0" w:color="auto"/>
              <w:right w:val="single" w:sz="4" w:space="0" w:color="auto"/>
            </w:tcBorders>
            <w:shd w:val="clear" w:color="auto" w:fill="C6F3FF"/>
            <w:vAlign w:val="center"/>
          </w:tcPr>
          <w:p w14:paraId="2381E09C"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-1.5</w:t>
            </w:r>
          </w:p>
        </w:tc>
        <w:tc>
          <w:tcPr>
            <w:tcW w:w="1003" w:type="dxa"/>
            <w:tcBorders>
              <w:top w:val="nil"/>
              <w:left w:val="nil"/>
              <w:bottom w:val="single" w:sz="4" w:space="0" w:color="auto"/>
              <w:right w:val="single" w:sz="4" w:space="0" w:color="auto"/>
            </w:tcBorders>
            <w:shd w:val="clear" w:color="auto" w:fill="C6F3FF"/>
            <w:vAlign w:val="center"/>
          </w:tcPr>
          <w:p w14:paraId="48928156"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1.5</w:t>
            </w:r>
          </w:p>
        </w:tc>
        <w:tc>
          <w:tcPr>
            <w:tcW w:w="1003" w:type="dxa"/>
            <w:tcBorders>
              <w:top w:val="nil"/>
              <w:left w:val="nil"/>
              <w:bottom w:val="single" w:sz="4" w:space="0" w:color="auto"/>
              <w:right w:val="single" w:sz="4" w:space="0" w:color="auto"/>
            </w:tcBorders>
            <w:shd w:val="clear" w:color="auto" w:fill="C6F3FF"/>
            <w:vAlign w:val="center"/>
          </w:tcPr>
          <w:p w14:paraId="377890B7"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C6F3FF"/>
            <w:vAlign w:val="center"/>
          </w:tcPr>
          <w:p w14:paraId="27549978"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-2</w:t>
            </w:r>
          </w:p>
        </w:tc>
      </w:tr>
      <w:tr w:rsidR="00021B22" w:rsidRPr="00021B22" w14:paraId="02DD4614" w14:textId="77777777" w:rsidTr="00DC4A9E">
        <w:trPr>
          <w:trHeight w:val="315"/>
        </w:trPr>
        <w:tc>
          <w:tcPr>
            <w:tcW w:w="1836" w:type="dxa"/>
            <w:vMerge w:val="restart"/>
            <w:tcBorders>
              <w:top w:val="nil"/>
              <w:left w:val="single" w:sz="4" w:space="0" w:color="auto"/>
              <w:right w:val="single" w:sz="4" w:space="0" w:color="auto"/>
            </w:tcBorders>
            <w:shd w:val="clear" w:color="auto" w:fill="C6F3FF"/>
            <w:vAlign w:val="center"/>
          </w:tcPr>
          <w:p w14:paraId="02F47CAB"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Safety</w:t>
            </w:r>
          </w:p>
        </w:tc>
        <w:tc>
          <w:tcPr>
            <w:tcW w:w="2443" w:type="dxa"/>
            <w:vMerge w:val="restart"/>
            <w:tcBorders>
              <w:top w:val="nil"/>
              <w:left w:val="single" w:sz="4" w:space="0" w:color="auto"/>
              <w:right w:val="single" w:sz="4" w:space="0" w:color="auto"/>
            </w:tcBorders>
            <w:vAlign w:val="center"/>
          </w:tcPr>
          <w:p w14:paraId="785F63CA"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Safety of vulnerable road users such as pedestrian and cyclists</w:t>
            </w:r>
          </w:p>
        </w:tc>
        <w:tc>
          <w:tcPr>
            <w:tcW w:w="4654" w:type="dxa"/>
            <w:tcBorders>
              <w:top w:val="nil"/>
              <w:left w:val="nil"/>
              <w:bottom w:val="single" w:sz="4" w:space="0" w:color="auto"/>
              <w:right w:val="single" w:sz="4" w:space="0" w:color="auto"/>
            </w:tcBorders>
            <w:shd w:val="clear" w:color="auto" w:fill="auto"/>
            <w:vAlign w:val="center"/>
          </w:tcPr>
          <w:p w14:paraId="7E843B03"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Improve pedestrian safety within the Scheme</w:t>
            </w:r>
          </w:p>
        </w:tc>
        <w:tc>
          <w:tcPr>
            <w:tcW w:w="1003" w:type="dxa"/>
            <w:tcBorders>
              <w:top w:val="single" w:sz="4" w:space="0" w:color="auto"/>
              <w:left w:val="single" w:sz="4" w:space="0" w:color="auto"/>
              <w:bottom w:val="single" w:sz="4" w:space="0" w:color="auto"/>
              <w:right w:val="single" w:sz="4" w:space="0" w:color="auto"/>
            </w:tcBorders>
            <w:shd w:val="clear" w:color="auto" w:fill="FFFF00"/>
            <w:vAlign w:val="center"/>
          </w:tcPr>
          <w:p w14:paraId="31D8D1F5"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single" w:sz="4" w:space="0" w:color="auto"/>
              <w:left w:val="nil"/>
              <w:bottom w:val="single" w:sz="4" w:space="0" w:color="auto"/>
              <w:right w:val="single" w:sz="4" w:space="0" w:color="auto"/>
            </w:tcBorders>
            <w:shd w:val="clear" w:color="auto" w:fill="FF0000"/>
            <w:vAlign w:val="center"/>
          </w:tcPr>
          <w:p w14:paraId="65FB852F"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single" w:sz="4" w:space="0" w:color="auto"/>
              <w:left w:val="nil"/>
              <w:bottom w:val="single" w:sz="4" w:space="0" w:color="auto"/>
              <w:right w:val="single" w:sz="4" w:space="0" w:color="auto"/>
            </w:tcBorders>
            <w:shd w:val="clear" w:color="auto" w:fill="C4FF3E"/>
            <w:vAlign w:val="center"/>
          </w:tcPr>
          <w:p w14:paraId="7D314C77"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single" w:sz="4" w:space="0" w:color="auto"/>
              <w:left w:val="nil"/>
              <w:bottom w:val="single" w:sz="4" w:space="0" w:color="auto"/>
              <w:right w:val="single" w:sz="4" w:space="0" w:color="auto"/>
            </w:tcBorders>
            <w:shd w:val="clear" w:color="auto" w:fill="00B050"/>
            <w:vAlign w:val="center"/>
          </w:tcPr>
          <w:p w14:paraId="674F5CC0"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single" w:sz="4" w:space="0" w:color="auto"/>
              <w:left w:val="nil"/>
              <w:bottom w:val="single" w:sz="4" w:space="0" w:color="auto"/>
              <w:right w:val="single" w:sz="4" w:space="0" w:color="auto"/>
            </w:tcBorders>
            <w:shd w:val="clear" w:color="auto" w:fill="FF0000"/>
            <w:vAlign w:val="center"/>
          </w:tcPr>
          <w:p w14:paraId="6AA624C3"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r>
      <w:tr w:rsidR="00021B22" w:rsidRPr="00021B22" w14:paraId="12C26269" w14:textId="77777777" w:rsidTr="00DC4A9E">
        <w:trPr>
          <w:trHeight w:val="315"/>
        </w:trPr>
        <w:tc>
          <w:tcPr>
            <w:tcW w:w="1836" w:type="dxa"/>
            <w:vMerge/>
            <w:tcBorders>
              <w:left w:val="single" w:sz="4" w:space="0" w:color="auto"/>
              <w:right w:val="single" w:sz="4" w:space="0" w:color="auto"/>
            </w:tcBorders>
            <w:shd w:val="clear" w:color="auto" w:fill="C6F3FF"/>
            <w:vAlign w:val="center"/>
          </w:tcPr>
          <w:p w14:paraId="7DD61CB1"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vMerge/>
            <w:tcBorders>
              <w:left w:val="single" w:sz="4" w:space="0" w:color="auto"/>
              <w:bottom w:val="single" w:sz="4" w:space="0" w:color="auto"/>
              <w:right w:val="single" w:sz="4" w:space="0" w:color="auto"/>
            </w:tcBorders>
            <w:vAlign w:val="center"/>
          </w:tcPr>
          <w:p w14:paraId="1A17B1AF"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4654" w:type="dxa"/>
            <w:tcBorders>
              <w:top w:val="nil"/>
              <w:left w:val="nil"/>
              <w:bottom w:val="single" w:sz="4" w:space="0" w:color="auto"/>
              <w:right w:val="single" w:sz="4" w:space="0" w:color="auto"/>
            </w:tcBorders>
            <w:shd w:val="clear" w:color="auto" w:fill="auto"/>
            <w:vAlign w:val="center"/>
          </w:tcPr>
          <w:p w14:paraId="1A08490A"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Improve cyclist safety within the Scheme</w:t>
            </w:r>
          </w:p>
        </w:tc>
        <w:tc>
          <w:tcPr>
            <w:tcW w:w="1003" w:type="dxa"/>
            <w:tcBorders>
              <w:top w:val="nil"/>
              <w:left w:val="single" w:sz="4" w:space="0" w:color="auto"/>
              <w:bottom w:val="single" w:sz="4" w:space="0" w:color="auto"/>
              <w:right w:val="single" w:sz="4" w:space="0" w:color="auto"/>
            </w:tcBorders>
            <w:shd w:val="clear" w:color="auto" w:fill="C4FF3E"/>
            <w:vAlign w:val="center"/>
          </w:tcPr>
          <w:p w14:paraId="4AE6BC87"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nil"/>
              <w:left w:val="nil"/>
              <w:bottom w:val="single" w:sz="4" w:space="0" w:color="auto"/>
              <w:right w:val="single" w:sz="4" w:space="0" w:color="auto"/>
            </w:tcBorders>
            <w:shd w:val="clear" w:color="auto" w:fill="FFC000"/>
            <w:vAlign w:val="center"/>
          </w:tcPr>
          <w:p w14:paraId="10DB7437"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nil"/>
              <w:left w:val="nil"/>
              <w:bottom w:val="single" w:sz="4" w:space="0" w:color="auto"/>
              <w:right w:val="single" w:sz="4" w:space="0" w:color="auto"/>
            </w:tcBorders>
            <w:shd w:val="clear" w:color="auto" w:fill="00B050"/>
            <w:vAlign w:val="center"/>
          </w:tcPr>
          <w:p w14:paraId="4E062E68"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00B050"/>
            <w:vAlign w:val="center"/>
          </w:tcPr>
          <w:p w14:paraId="5E2F301C"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FFC000"/>
            <w:vAlign w:val="center"/>
          </w:tcPr>
          <w:p w14:paraId="53558454"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r>
      <w:tr w:rsidR="00021B22" w:rsidRPr="00021B22" w14:paraId="2E2F32C9" w14:textId="77777777" w:rsidTr="00DC4A9E">
        <w:trPr>
          <w:trHeight w:val="315"/>
        </w:trPr>
        <w:tc>
          <w:tcPr>
            <w:tcW w:w="1836" w:type="dxa"/>
            <w:vMerge/>
            <w:tcBorders>
              <w:left w:val="single" w:sz="4" w:space="0" w:color="auto"/>
              <w:bottom w:val="single" w:sz="4" w:space="0" w:color="auto"/>
              <w:right w:val="single" w:sz="4" w:space="0" w:color="auto"/>
            </w:tcBorders>
            <w:shd w:val="clear" w:color="auto" w:fill="C6F3FF"/>
            <w:vAlign w:val="center"/>
          </w:tcPr>
          <w:p w14:paraId="46460C18"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7097" w:type="dxa"/>
            <w:gridSpan w:val="2"/>
            <w:tcBorders>
              <w:left w:val="single" w:sz="4" w:space="0" w:color="auto"/>
              <w:bottom w:val="single" w:sz="4" w:space="0" w:color="auto"/>
              <w:right w:val="single" w:sz="4" w:space="0" w:color="auto"/>
            </w:tcBorders>
            <w:shd w:val="clear" w:color="auto" w:fill="C6F3FF"/>
            <w:vAlign w:val="center"/>
          </w:tcPr>
          <w:p w14:paraId="084AC62B" w14:textId="77777777" w:rsidR="00DC4A9E" w:rsidRPr="00021B22" w:rsidRDefault="00DC4A9E" w:rsidP="00DC4A9E">
            <w:pPr>
              <w:spacing w:after="0" w:line="240" w:lineRule="auto"/>
              <w:jc w:val="right"/>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Criteria Sub-Total (Average)</w:t>
            </w:r>
          </w:p>
        </w:tc>
        <w:tc>
          <w:tcPr>
            <w:tcW w:w="1003" w:type="dxa"/>
            <w:tcBorders>
              <w:top w:val="nil"/>
              <w:left w:val="single" w:sz="4" w:space="0" w:color="auto"/>
              <w:bottom w:val="single" w:sz="4" w:space="0" w:color="auto"/>
              <w:right w:val="single" w:sz="4" w:space="0" w:color="auto"/>
            </w:tcBorders>
            <w:shd w:val="clear" w:color="auto" w:fill="C6F3FF"/>
            <w:vAlign w:val="center"/>
          </w:tcPr>
          <w:p w14:paraId="37A1241B"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0.5</w:t>
            </w:r>
          </w:p>
        </w:tc>
        <w:tc>
          <w:tcPr>
            <w:tcW w:w="1003" w:type="dxa"/>
            <w:tcBorders>
              <w:top w:val="nil"/>
              <w:left w:val="nil"/>
              <w:bottom w:val="single" w:sz="4" w:space="0" w:color="auto"/>
              <w:right w:val="single" w:sz="4" w:space="0" w:color="auto"/>
            </w:tcBorders>
            <w:shd w:val="clear" w:color="auto" w:fill="C6F3FF"/>
            <w:vAlign w:val="center"/>
          </w:tcPr>
          <w:p w14:paraId="3BF2FA66"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-1.5</w:t>
            </w:r>
          </w:p>
        </w:tc>
        <w:tc>
          <w:tcPr>
            <w:tcW w:w="1003" w:type="dxa"/>
            <w:tcBorders>
              <w:top w:val="nil"/>
              <w:left w:val="nil"/>
              <w:bottom w:val="single" w:sz="4" w:space="0" w:color="auto"/>
              <w:right w:val="single" w:sz="4" w:space="0" w:color="auto"/>
            </w:tcBorders>
            <w:shd w:val="clear" w:color="auto" w:fill="C6F3FF"/>
            <w:vAlign w:val="center"/>
          </w:tcPr>
          <w:p w14:paraId="737CE5AE"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1.5</w:t>
            </w:r>
          </w:p>
        </w:tc>
        <w:tc>
          <w:tcPr>
            <w:tcW w:w="1003" w:type="dxa"/>
            <w:tcBorders>
              <w:top w:val="nil"/>
              <w:left w:val="nil"/>
              <w:bottom w:val="single" w:sz="4" w:space="0" w:color="auto"/>
              <w:right w:val="single" w:sz="4" w:space="0" w:color="auto"/>
            </w:tcBorders>
            <w:shd w:val="clear" w:color="auto" w:fill="C6F3FF"/>
            <w:vAlign w:val="center"/>
          </w:tcPr>
          <w:p w14:paraId="1984411E"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C6F3FF"/>
            <w:vAlign w:val="center"/>
          </w:tcPr>
          <w:p w14:paraId="01C2EDF3"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-1.5</w:t>
            </w:r>
          </w:p>
        </w:tc>
      </w:tr>
      <w:tr w:rsidR="00021B22" w:rsidRPr="00021B22" w14:paraId="35A469CF" w14:textId="77777777" w:rsidTr="00DC4A9E">
        <w:trPr>
          <w:trHeight w:val="461"/>
        </w:trPr>
        <w:tc>
          <w:tcPr>
            <w:tcW w:w="1836" w:type="dxa"/>
            <w:vMerge w:val="restart"/>
            <w:tcBorders>
              <w:top w:val="single" w:sz="4" w:space="0" w:color="auto"/>
              <w:left w:val="single" w:sz="4" w:space="0" w:color="auto"/>
              <w:right w:val="single" w:sz="4" w:space="0" w:color="auto"/>
            </w:tcBorders>
            <w:shd w:val="clear" w:color="auto" w:fill="C6F3FF"/>
            <w:vAlign w:val="center"/>
            <w:hideMark/>
          </w:tcPr>
          <w:p w14:paraId="63BC02A4"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p w14:paraId="3EBE3235"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Integration</w:t>
            </w:r>
          </w:p>
        </w:tc>
        <w:tc>
          <w:tcPr>
            <w:tcW w:w="2443" w:type="dxa"/>
            <w:vMerge w:val="restart"/>
            <w:tcBorders>
              <w:top w:val="nil"/>
              <w:left w:val="single" w:sz="4" w:space="0" w:color="auto"/>
              <w:bottom w:val="single" w:sz="4" w:space="0" w:color="auto"/>
              <w:right w:val="single" w:sz="4" w:space="0" w:color="auto"/>
            </w:tcBorders>
            <w:shd w:val="clear" w:color="auto" w:fill="auto"/>
            <w:vAlign w:val="center"/>
            <w:hideMark/>
          </w:tcPr>
          <w:p w14:paraId="2198F2EC"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Transport Integration</w:t>
            </w:r>
          </w:p>
        </w:tc>
        <w:tc>
          <w:tcPr>
            <w:tcW w:w="4654" w:type="dxa"/>
            <w:tcBorders>
              <w:top w:val="nil"/>
              <w:left w:val="nil"/>
              <w:bottom w:val="single" w:sz="4" w:space="0" w:color="auto"/>
              <w:right w:val="single" w:sz="4" w:space="0" w:color="auto"/>
            </w:tcBorders>
            <w:shd w:val="clear" w:color="auto" w:fill="auto"/>
            <w:vAlign w:val="center"/>
            <w:hideMark/>
          </w:tcPr>
          <w:p w14:paraId="03AC0F25"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 xml:space="preserve">Integration of the Scheme with the existing and planned GDA Strategic Cycle Network </w:t>
            </w:r>
          </w:p>
        </w:tc>
        <w:tc>
          <w:tcPr>
            <w:tcW w:w="1003" w:type="dxa"/>
            <w:tcBorders>
              <w:top w:val="single" w:sz="4" w:space="0" w:color="auto"/>
              <w:left w:val="single" w:sz="4" w:space="0" w:color="auto"/>
              <w:bottom w:val="single" w:sz="4" w:space="0" w:color="auto"/>
              <w:right w:val="single" w:sz="4" w:space="0" w:color="auto"/>
            </w:tcBorders>
            <w:shd w:val="clear" w:color="auto" w:fill="FFFF00"/>
            <w:vAlign w:val="center"/>
          </w:tcPr>
          <w:p w14:paraId="7ACDB5E3"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bookmarkStart w:id="3" w:name="RANGE!F14"/>
            <w:r w:rsidRPr="00021B22">
              <w:rPr>
                <w:rFonts w:ascii="AECOM Sans Light" w:eastAsia="Arial" w:hAnsi="AECOM Sans Light" w:cs="AECOM Sans Light"/>
                <w:kern w:val="18"/>
                <w:sz w:val="18"/>
                <w:szCs w:val="18"/>
              </w:rPr>
              <w:t>0</w:t>
            </w:r>
            <w:bookmarkEnd w:id="3"/>
          </w:p>
        </w:tc>
        <w:tc>
          <w:tcPr>
            <w:tcW w:w="1003" w:type="dxa"/>
            <w:tcBorders>
              <w:top w:val="single" w:sz="4" w:space="0" w:color="auto"/>
              <w:left w:val="nil"/>
              <w:bottom w:val="single" w:sz="4" w:space="0" w:color="auto"/>
              <w:right w:val="single" w:sz="4" w:space="0" w:color="auto"/>
            </w:tcBorders>
            <w:shd w:val="clear" w:color="auto" w:fill="FFFF00"/>
            <w:vAlign w:val="center"/>
          </w:tcPr>
          <w:p w14:paraId="40C7AF30"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single" w:sz="4" w:space="0" w:color="auto"/>
              <w:left w:val="nil"/>
              <w:bottom w:val="single" w:sz="4" w:space="0" w:color="auto"/>
              <w:right w:val="single" w:sz="4" w:space="0" w:color="auto"/>
            </w:tcBorders>
            <w:shd w:val="clear" w:color="auto" w:fill="FFFF00"/>
            <w:vAlign w:val="center"/>
          </w:tcPr>
          <w:p w14:paraId="4798A9AA"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single" w:sz="4" w:space="0" w:color="auto"/>
              <w:left w:val="nil"/>
              <w:bottom w:val="single" w:sz="4" w:space="0" w:color="auto"/>
              <w:right w:val="single" w:sz="4" w:space="0" w:color="auto"/>
            </w:tcBorders>
            <w:shd w:val="clear" w:color="auto" w:fill="FFFF00"/>
            <w:vAlign w:val="center"/>
          </w:tcPr>
          <w:p w14:paraId="46B1C7CF"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single" w:sz="4" w:space="0" w:color="auto"/>
              <w:left w:val="nil"/>
              <w:bottom w:val="single" w:sz="4" w:space="0" w:color="auto"/>
              <w:right w:val="single" w:sz="4" w:space="0" w:color="auto"/>
            </w:tcBorders>
            <w:shd w:val="clear" w:color="auto" w:fill="FFFF00"/>
            <w:vAlign w:val="center"/>
          </w:tcPr>
          <w:p w14:paraId="2D4B1D01"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r>
      <w:tr w:rsidR="00021B22" w:rsidRPr="00021B22" w14:paraId="3692082E" w14:textId="77777777" w:rsidTr="00DC4A9E">
        <w:trPr>
          <w:trHeight w:val="461"/>
        </w:trPr>
        <w:tc>
          <w:tcPr>
            <w:tcW w:w="1836" w:type="dxa"/>
            <w:vMerge/>
            <w:tcBorders>
              <w:left w:val="single" w:sz="4" w:space="0" w:color="auto"/>
              <w:right w:val="single" w:sz="4" w:space="0" w:color="auto"/>
            </w:tcBorders>
            <w:shd w:val="clear" w:color="auto" w:fill="C6F3FF"/>
            <w:vAlign w:val="center"/>
            <w:hideMark/>
          </w:tcPr>
          <w:p w14:paraId="7F7BF7BF"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vMerge/>
            <w:tcBorders>
              <w:top w:val="nil"/>
              <w:left w:val="single" w:sz="4" w:space="0" w:color="auto"/>
              <w:bottom w:val="single" w:sz="4" w:space="0" w:color="auto"/>
              <w:right w:val="single" w:sz="4" w:space="0" w:color="auto"/>
            </w:tcBorders>
            <w:vAlign w:val="center"/>
            <w:hideMark/>
          </w:tcPr>
          <w:p w14:paraId="51DC5A83"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4654" w:type="dxa"/>
            <w:tcBorders>
              <w:top w:val="nil"/>
              <w:left w:val="nil"/>
              <w:bottom w:val="single" w:sz="4" w:space="0" w:color="auto"/>
              <w:right w:val="single" w:sz="4" w:space="0" w:color="auto"/>
            </w:tcBorders>
            <w:shd w:val="clear" w:color="auto" w:fill="auto"/>
            <w:vAlign w:val="center"/>
            <w:hideMark/>
          </w:tcPr>
          <w:p w14:paraId="0D8944CF"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Integration of the Scheme with the existing and planned pedestrian network</w:t>
            </w:r>
          </w:p>
        </w:tc>
        <w:tc>
          <w:tcPr>
            <w:tcW w:w="1003" w:type="dxa"/>
            <w:tcBorders>
              <w:top w:val="nil"/>
              <w:left w:val="single" w:sz="4" w:space="0" w:color="auto"/>
              <w:bottom w:val="single" w:sz="4" w:space="0" w:color="auto"/>
              <w:right w:val="single" w:sz="4" w:space="0" w:color="auto"/>
            </w:tcBorders>
            <w:shd w:val="clear" w:color="auto" w:fill="C4FF3E"/>
            <w:vAlign w:val="center"/>
          </w:tcPr>
          <w:p w14:paraId="66217E48"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nil"/>
              <w:left w:val="nil"/>
              <w:bottom w:val="single" w:sz="4" w:space="0" w:color="auto"/>
              <w:right w:val="single" w:sz="4" w:space="0" w:color="auto"/>
            </w:tcBorders>
            <w:shd w:val="clear" w:color="auto" w:fill="FFFF00"/>
            <w:vAlign w:val="center"/>
          </w:tcPr>
          <w:p w14:paraId="2DF67C21"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nil"/>
              <w:left w:val="nil"/>
              <w:bottom w:val="single" w:sz="4" w:space="0" w:color="auto"/>
              <w:right w:val="single" w:sz="4" w:space="0" w:color="auto"/>
            </w:tcBorders>
            <w:shd w:val="clear" w:color="auto" w:fill="C4FF3E"/>
            <w:vAlign w:val="center"/>
          </w:tcPr>
          <w:p w14:paraId="6404CE03"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nil"/>
              <w:left w:val="nil"/>
              <w:bottom w:val="single" w:sz="4" w:space="0" w:color="auto"/>
              <w:right w:val="single" w:sz="4" w:space="0" w:color="auto"/>
            </w:tcBorders>
            <w:shd w:val="clear" w:color="auto" w:fill="C4FF3E"/>
            <w:vAlign w:val="center"/>
          </w:tcPr>
          <w:p w14:paraId="276022A2"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nil"/>
              <w:left w:val="nil"/>
              <w:bottom w:val="single" w:sz="4" w:space="0" w:color="auto"/>
              <w:right w:val="single" w:sz="4" w:space="0" w:color="auto"/>
            </w:tcBorders>
            <w:shd w:val="clear" w:color="auto" w:fill="FFFF00"/>
            <w:vAlign w:val="center"/>
          </w:tcPr>
          <w:p w14:paraId="2E1D56A7"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r>
      <w:tr w:rsidR="00021B22" w:rsidRPr="00021B22" w14:paraId="50ACBE18" w14:textId="77777777" w:rsidTr="00DC4A9E">
        <w:trPr>
          <w:trHeight w:val="461"/>
        </w:trPr>
        <w:tc>
          <w:tcPr>
            <w:tcW w:w="1836" w:type="dxa"/>
            <w:vMerge/>
            <w:tcBorders>
              <w:left w:val="single" w:sz="4" w:space="0" w:color="auto"/>
              <w:right w:val="single" w:sz="4" w:space="0" w:color="auto"/>
            </w:tcBorders>
            <w:shd w:val="clear" w:color="auto" w:fill="C6F3FF"/>
            <w:vAlign w:val="center"/>
            <w:hideMark/>
          </w:tcPr>
          <w:p w14:paraId="1B509971"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vMerge/>
            <w:tcBorders>
              <w:top w:val="nil"/>
              <w:left w:val="single" w:sz="4" w:space="0" w:color="auto"/>
              <w:bottom w:val="single" w:sz="4" w:space="0" w:color="auto"/>
              <w:right w:val="single" w:sz="4" w:space="0" w:color="auto"/>
            </w:tcBorders>
            <w:vAlign w:val="center"/>
            <w:hideMark/>
          </w:tcPr>
          <w:p w14:paraId="7E1B3786"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4654" w:type="dxa"/>
            <w:tcBorders>
              <w:top w:val="nil"/>
              <w:left w:val="nil"/>
              <w:bottom w:val="single" w:sz="4" w:space="0" w:color="auto"/>
              <w:right w:val="single" w:sz="4" w:space="0" w:color="auto"/>
            </w:tcBorders>
            <w:shd w:val="clear" w:color="auto" w:fill="auto"/>
            <w:vAlign w:val="center"/>
            <w:hideMark/>
          </w:tcPr>
          <w:p w14:paraId="752E07B6"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Integration of the Scheme with the existing and planned public transport network</w:t>
            </w:r>
          </w:p>
        </w:tc>
        <w:tc>
          <w:tcPr>
            <w:tcW w:w="1003" w:type="dxa"/>
            <w:tcBorders>
              <w:top w:val="nil"/>
              <w:left w:val="single" w:sz="4" w:space="0" w:color="auto"/>
              <w:bottom w:val="single" w:sz="4" w:space="0" w:color="auto"/>
              <w:right w:val="single" w:sz="4" w:space="0" w:color="auto"/>
            </w:tcBorders>
            <w:shd w:val="clear" w:color="auto" w:fill="C4FF3E"/>
            <w:vAlign w:val="center"/>
          </w:tcPr>
          <w:p w14:paraId="01EAD106"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nil"/>
              <w:left w:val="nil"/>
              <w:bottom w:val="single" w:sz="4" w:space="0" w:color="auto"/>
              <w:right w:val="single" w:sz="4" w:space="0" w:color="auto"/>
            </w:tcBorders>
            <w:shd w:val="clear" w:color="auto" w:fill="00B050"/>
            <w:vAlign w:val="center"/>
          </w:tcPr>
          <w:p w14:paraId="2861890E"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FF0000"/>
            <w:vAlign w:val="center"/>
          </w:tcPr>
          <w:p w14:paraId="40D3A891"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FF0000"/>
            <w:vAlign w:val="center"/>
          </w:tcPr>
          <w:p w14:paraId="12F6A24A"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00B050"/>
            <w:vAlign w:val="center"/>
          </w:tcPr>
          <w:p w14:paraId="1ABC9BAB"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r>
      <w:tr w:rsidR="00021B22" w:rsidRPr="00021B22" w14:paraId="6CF46DF3" w14:textId="77777777" w:rsidTr="00DC4A9E">
        <w:trPr>
          <w:trHeight w:val="461"/>
        </w:trPr>
        <w:tc>
          <w:tcPr>
            <w:tcW w:w="1836" w:type="dxa"/>
            <w:vMerge/>
            <w:tcBorders>
              <w:left w:val="single" w:sz="4" w:space="0" w:color="auto"/>
              <w:right w:val="single" w:sz="4" w:space="0" w:color="auto"/>
            </w:tcBorders>
            <w:shd w:val="clear" w:color="auto" w:fill="C6F3FF"/>
            <w:vAlign w:val="center"/>
            <w:hideMark/>
          </w:tcPr>
          <w:p w14:paraId="0E0589CB"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tcBorders>
              <w:top w:val="nil"/>
              <w:left w:val="single" w:sz="4" w:space="0" w:color="auto"/>
              <w:bottom w:val="single" w:sz="4" w:space="0" w:color="auto"/>
              <w:right w:val="single" w:sz="4" w:space="0" w:color="auto"/>
            </w:tcBorders>
            <w:shd w:val="clear" w:color="auto" w:fill="auto"/>
            <w:vAlign w:val="center"/>
            <w:hideMark/>
          </w:tcPr>
          <w:p w14:paraId="0583F9E1"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Land Use Integration</w:t>
            </w:r>
          </w:p>
        </w:tc>
        <w:tc>
          <w:tcPr>
            <w:tcW w:w="4654" w:type="dxa"/>
            <w:tcBorders>
              <w:top w:val="nil"/>
              <w:left w:val="nil"/>
              <w:bottom w:val="single" w:sz="4" w:space="0" w:color="auto"/>
              <w:right w:val="single" w:sz="4" w:space="0" w:color="auto"/>
            </w:tcBorders>
            <w:shd w:val="clear" w:color="auto" w:fill="auto"/>
            <w:vAlign w:val="center"/>
            <w:hideMark/>
          </w:tcPr>
          <w:p w14:paraId="3315EB01"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Alignment of the scheme with adopted DCC spatial policies for the City Centre and Central Spine</w:t>
            </w:r>
          </w:p>
        </w:tc>
        <w:tc>
          <w:tcPr>
            <w:tcW w:w="1003" w:type="dxa"/>
            <w:tcBorders>
              <w:top w:val="single" w:sz="4" w:space="0" w:color="auto"/>
              <w:left w:val="single" w:sz="4" w:space="0" w:color="auto"/>
              <w:bottom w:val="single" w:sz="4" w:space="0" w:color="auto"/>
              <w:right w:val="single" w:sz="4" w:space="0" w:color="auto"/>
            </w:tcBorders>
            <w:shd w:val="clear" w:color="auto" w:fill="FF0000"/>
            <w:vAlign w:val="center"/>
          </w:tcPr>
          <w:p w14:paraId="6AE55D07"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bookmarkStart w:id="4" w:name="RANGE!F18"/>
            <w:r w:rsidRPr="00021B22">
              <w:rPr>
                <w:rFonts w:ascii="AECOM Sans Light" w:eastAsia="Arial" w:hAnsi="AECOM Sans Light" w:cs="AECOM Sans Light"/>
                <w:kern w:val="18"/>
                <w:sz w:val="18"/>
                <w:szCs w:val="18"/>
              </w:rPr>
              <w:t>-2</w:t>
            </w:r>
            <w:bookmarkEnd w:id="4"/>
          </w:p>
        </w:tc>
        <w:tc>
          <w:tcPr>
            <w:tcW w:w="1003" w:type="dxa"/>
            <w:tcBorders>
              <w:top w:val="single" w:sz="4" w:space="0" w:color="auto"/>
              <w:left w:val="nil"/>
              <w:bottom w:val="single" w:sz="4" w:space="0" w:color="auto"/>
              <w:right w:val="single" w:sz="4" w:space="0" w:color="auto"/>
            </w:tcBorders>
            <w:shd w:val="clear" w:color="auto" w:fill="FF0000"/>
            <w:vAlign w:val="center"/>
          </w:tcPr>
          <w:p w14:paraId="7C2EC34F"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single" w:sz="4" w:space="0" w:color="auto"/>
              <w:left w:val="nil"/>
              <w:bottom w:val="single" w:sz="4" w:space="0" w:color="auto"/>
              <w:right w:val="single" w:sz="4" w:space="0" w:color="auto"/>
            </w:tcBorders>
            <w:shd w:val="clear" w:color="auto" w:fill="00B050"/>
            <w:vAlign w:val="center"/>
          </w:tcPr>
          <w:p w14:paraId="2907B1F3"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single" w:sz="4" w:space="0" w:color="auto"/>
              <w:left w:val="nil"/>
              <w:bottom w:val="single" w:sz="4" w:space="0" w:color="auto"/>
              <w:right w:val="single" w:sz="4" w:space="0" w:color="auto"/>
            </w:tcBorders>
            <w:shd w:val="clear" w:color="auto" w:fill="00B050"/>
            <w:vAlign w:val="center"/>
          </w:tcPr>
          <w:p w14:paraId="274281AF"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single" w:sz="4" w:space="0" w:color="auto"/>
              <w:left w:val="nil"/>
              <w:bottom w:val="single" w:sz="4" w:space="0" w:color="auto"/>
              <w:right w:val="single" w:sz="4" w:space="0" w:color="auto"/>
            </w:tcBorders>
            <w:shd w:val="clear" w:color="auto" w:fill="FF0000"/>
            <w:vAlign w:val="center"/>
          </w:tcPr>
          <w:p w14:paraId="3D75D836"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r>
      <w:tr w:rsidR="00021B22" w:rsidRPr="00021B22" w14:paraId="25925155" w14:textId="77777777" w:rsidTr="00DC4A9E">
        <w:trPr>
          <w:trHeight w:val="409"/>
        </w:trPr>
        <w:tc>
          <w:tcPr>
            <w:tcW w:w="1836" w:type="dxa"/>
            <w:vMerge/>
            <w:tcBorders>
              <w:left w:val="single" w:sz="4" w:space="0" w:color="auto"/>
              <w:right w:val="single" w:sz="4" w:space="0" w:color="auto"/>
            </w:tcBorders>
            <w:shd w:val="clear" w:color="auto" w:fill="C6F3FF"/>
            <w:vAlign w:val="center"/>
            <w:hideMark/>
          </w:tcPr>
          <w:p w14:paraId="782AF76A"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tcBorders>
              <w:top w:val="nil"/>
              <w:left w:val="single" w:sz="4" w:space="0" w:color="auto"/>
              <w:bottom w:val="single" w:sz="4" w:space="0" w:color="auto"/>
              <w:right w:val="single" w:sz="4" w:space="0" w:color="auto"/>
            </w:tcBorders>
            <w:shd w:val="clear" w:color="auto" w:fill="auto"/>
            <w:vAlign w:val="center"/>
            <w:hideMark/>
          </w:tcPr>
          <w:p w14:paraId="23628C54"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 xml:space="preserve">Other </w:t>
            </w:r>
            <w:proofErr w:type="spellStart"/>
            <w:r w:rsidRPr="00021B22">
              <w:rPr>
                <w:rFonts w:ascii="AECOM Sans Light" w:eastAsia="Times New Roman" w:hAnsi="AECOM Sans Light" w:cs="AECOM Sans Light"/>
                <w:sz w:val="18"/>
                <w:szCs w:val="18"/>
                <w:lang w:eastAsia="en-GB"/>
              </w:rPr>
              <w:t>Govt</w:t>
            </w:r>
            <w:proofErr w:type="spellEnd"/>
            <w:r w:rsidRPr="00021B22">
              <w:rPr>
                <w:rFonts w:ascii="AECOM Sans Light" w:eastAsia="Times New Roman" w:hAnsi="AECOM Sans Light" w:cs="AECOM Sans Light"/>
                <w:sz w:val="18"/>
                <w:szCs w:val="18"/>
                <w:lang w:eastAsia="en-GB"/>
              </w:rPr>
              <w:t xml:space="preserve"> Policy Integration</w:t>
            </w:r>
          </w:p>
        </w:tc>
        <w:tc>
          <w:tcPr>
            <w:tcW w:w="4654" w:type="dxa"/>
            <w:tcBorders>
              <w:top w:val="nil"/>
              <w:left w:val="nil"/>
              <w:bottom w:val="single" w:sz="4" w:space="0" w:color="auto"/>
              <w:right w:val="single" w:sz="4" w:space="0" w:color="auto"/>
            </w:tcBorders>
            <w:shd w:val="clear" w:color="auto" w:fill="auto"/>
            <w:vAlign w:val="center"/>
            <w:hideMark/>
          </w:tcPr>
          <w:p w14:paraId="16AE3EDF"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Alignment of the scheme with Ireland 2040/ NDP, Climate Action Plan (CAP), Eastern and Midland RSES</w:t>
            </w:r>
          </w:p>
        </w:tc>
        <w:tc>
          <w:tcPr>
            <w:tcW w:w="1003" w:type="dxa"/>
            <w:tcBorders>
              <w:top w:val="single" w:sz="4" w:space="0" w:color="auto"/>
              <w:left w:val="single" w:sz="4" w:space="0" w:color="auto"/>
              <w:bottom w:val="single" w:sz="4" w:space="0" w:color="auto"/>
              <w:right w:val="single" w:sz="4" w:space="0" w:color="auto"/>
            </w:tcBorders>
            <w:shd w:val="clear" w:color="auto" w:fill="FFFF00"/>
            <w:vAlign w:val="center"/>
          </w:tcPr>
          <w:p w14:paraId="35AEA803"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bookmarkStart w:id="5" w:name="RANGE!F19"/>
            <w:r w:rsidRPr="00021B22">
              <w:rPr>
                <w:rFonts w:ascii="AECOM Sans Light" w:eastAsia="Arial" w:hAnsi="AECOM Sans Light" w:cs="AECOM Sans Light"/>
                <w:kern w:val="18"/>
                <w:sz w:val="18"/>
                <w:szCs w:val="18"/>
              </w:rPr>
              <w:t>0</w:t>
            </w:r>
            <w:bookmarkEnd w:id="5"/>
          </w:p>
        </w:tc>
        <w:tc>
          <w:tcPr>
            <w:tcW w:w="1003" w:type="dxa"/>
            <w:tcBorders>
              <w:top w:val="single" w:sz="4" w:space="0" w:color="auto"/>
              <w:left w:val="nil"/>
              <w:bottom w:val="single" w:sz="4" w:space="0" w:color="auto"/>
              <w:right w:val="single" w:sz="4" w:space="0" w:color="auto"/>
            </w:tcBorders>
            <w:shd w:val="clear" w:color="auto" w:fill="FFFF00"/>
            <w:vAlign w:val="center"/>
          </w:tcPr>
          <w:p w14:paraId="08703B02"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single" w:sz="4" w:space="0" w:color="auto"/>
              <w:left w:val="nil"/>
              <w:bottom w:val="single" w:sz="4" w:space="0" w:color="auto"/>
              <w:right w:val="single" w:sz="4" w:space="0" w:color="auto"/>
            </w:tcBorders>
            <w:shd w:val="clear" w:color="auto" w:fill="C4FF3E"/>
            <w:vAlign w:val="center"/>
          </w:tcPr>
          <w:p w14:paraId="54946CE1"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single" w:sz="4" w:space="0" w:color="auto"/>
              <w:left w:val="nil"/>
              <w:bottom w:val="single" w:sz="4" w:space="0" w:color="auto"/>
              <w:right w:val="single" w:sz="4" w:space="0" w:color="auto"/>
            </w:tcBorders>
            <w:shd w:val="clear" w:color="auto" w:fill="C4FF3E"/>
            <w:vAlign w:val="center"/>
          </w:tcPr>
          <w:p w14:paraId="5D21D392"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single" w:sz="4" w:space="0" w:color="auto"/>
              <w:left w:val="nil"/>
              <w:bottom w:val="single" w:sz="4" w:space="0" w:color="auto"/>
              <w:right w:val="single" w:sz="4" w:space="0" w:color="auto"/>
            </w:tcBorders>
            <w:shd w:val="clear" w:color="auto" w:fill="FFFF00"/>
            <w:vAlign w:val="center"/>
          </w:tcPr>
          <w:p w14:paraId="75BE6E17"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r>
      <w:tr w:rsidR="00021B22" w:rsidRPr="00021B22" w14:paraId="7AE5FFD7" w14:textId="77777777" w:rsidTr="00DC4A9E">
        <w:trPr>
          <w:trHeight w:val="317"/>
        </w:trPr>
        <w:tc>
          <w:tcPr>
            <w:tcW w:w="1836" w:type="dxa"/>
            <w:vMerge/>
            <w:tcBorders>
              <w:left w:val="single" w:sz="4" w:space="0" w:color="auto"/>
              <w:bottom w:val="single" w:sz="4" w:space="0" w:color="auto"/>
              <w:right w:val="single" w:sz="4" w:space="0" w:color="auto"/>
            </w:tcBorders>
            <w:shd w:val="clear" w:color="auto" w:fill="C6F3FF"/>
            <w:vAlign w:val="center"/>
          </w:tcPr>
          <w:p w14:paraId="7946EFC9"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7097" w:type="dxa"/>
            <w:gridSpan w:val="2"/>
            <w:tcBorders>
              <w:top w:val="nil"/>
              <w:left w:val="single" w:sz="4" w:space="0" w:color="auto"/>
              <w:bottom w:val="single" w:sz="4" w:space="0" w:color="auto"/>
              <w:right w:val="single" w:sz="4" w:space="0" w:color="auto"/>
            </w:tcBorders>
            <w:shd w:val="clear" w:color="auto" w:fill="C6F3FF"/>
            <w:vAlign w:val="center"/>
          </w:tcPr>
          <w:p w14:paraId="3169DDEB" w14:textId="77777777" w:rsidR="00DC4A9E" w:rsidRPr="00021B22" w:rsidRDefault="00DC4A9E" w:rsidP="00DC4A9E">
            <w:pPr>
              <w:spacing w:after="0" w:line="240" w:lineRule="auto"/>
              <w:jc w:val="right"/>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Criteria  Sub-Total (Average)</w:t>
            </w:r>
          </w:p>
        </w:tc>
        <w:tc>
          <w:tcPr>
            <w:tcW w:w="1003" w:type="dxa"/>
            <w:tcBorders>
              <w:top w:val="nil"/>
              <w:left w:val="nil"/>
              <w:bottom w:val="single" w:sz="4" w:space="0" w:color="auto"/>
              <w:right w:val="single" w:sz="4" w:space="0" w:color="auto"/>
            </w:tcBorders>
            <w:shd w:val="clear" w:color="auto" w:fill="C6F3FF"/>
            <w:vAlign w:val="center"/>
          </w:tcPr>
          <w:p w14:paraId="4573496D"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0</w:t>
            </w:r>
          </w:p>
        </w:tc>
        <w:tc>
          <w:tcPr>
            <w:tcW w:w="1003" w:type="dxa"/>
            <w:tcBorders>
              <w:top w:val="nil"/>
              <w:left w:val="nil"/>
              <w:bottom w:val="single" w:sz="4" w:space="0" w:color="auto"/>
              <w:right w:val="single" w:sz="4" w:space="0" w:color="auto"/>
            </w:tcBorders>
            <w:shd w:val="clear" w:color="auto" w:fill="C6F3FF"/>
            <w:vAlign w:val="center"/>
          </w:tcPr>
          <w:p w14:paraId="72D4B841"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0</w:t>
            </w:r>
          </w:p>
        </w:tc>
        <w:tc>
          <w:tcPr>
            <w:tcW w:w="1003" w:type="dxa"/>
            <w:tcBorders>
              <w:top w:val="nil"/>
              <w:left w:val="nil"/>
              <w:bottom w:val="single" w:sz="4" w:space="0" w:color="auto"/>
              <w:right w:val="single" w:sz="4" w:space="0" w:color="auto"/>
            </w:tcBorders>
            <w:shd w:val="clear" w:color="auto" w:fill="C6F3FF"/>
            <w:vAlign w:val="center"/>
          </w:tcPr>
          <w:p w14:paraId="65AD97C3"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0.4</w:t>
            </w:r>
          </w:p>
        </w:tc>
        <w:tc>
          <w:tcPr>
            <w:tcW w:w="1003" w:type="dxa"/>
            <w:tcBorders>
              <w:top w:val="nil"/>
              <w:left w:val="nil"/>
              <w:bottom w:val="single" w:sz="4" w:space="0" w:color="auto"/>
              <w:right w:val="single" w:sz="4" w:space="0" w:color="auto"/>
            </w:tcBorders>
            <w:shd w:val="clear" w:color="auto" w:fill="C6F3FF"/>
            <w:vAlign w:val="center"/>
          </w:tcPr>
          <w:p w14:paraId="4FA4014F"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0.4</w:t>
            </w:r>
          </w:p>
        </w:tc>
        <w:tc>
          <w:tcPr>
            <w:tcW w:w="1003" w:type="dxa"/>
            <w:tcBorders>
              <w:top w:val="nil"/>
              <w:left w:val="nil"/>
              <w:bottom w:val="single" w:sz="4" w:space="0" w:color="auto"/>
              <w:right w:val="single" w:sz="4" w:space="0" w:color="auto"/>
            </w:tcBorders>
            <w:shd w:val="clear" w:color="auto" w:fill="C6F3FF"/>
            <w:vAlign w:val="center"/>
          </w:tcPr>
          <w:p w14:paraId="61D31BFF"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0</w:t>
            </w:r>
          </w:p>
        </w:tc>
      </w:tr>
      <w:tr w:rsidR="00021B22" w:rsidRPr="00021B22" w14:paraId="25D34A79" w14:textId="77777777" w:rsidTr="00DC4A9E">
        <w:trPr>
          <w:trHeight w:val="461"/>
        </w:trPr>
        <w:tc>
          <w:tcPr>
            <w:tcW w:w="1836" w:type="dxa"/>
            <w:vMerge w:val="restart"/>
            <w:tcBorders>
              <w:top w:val="single" w:sz="4" w:space="0" w:color="auto"/>
              <w:left w:val="single" w:sz="4" w:space="0" w:color="auto"/>
              <w:right w:val="single" w:sz="4" w:space="0" w:color="auto"/>
            </w:tcBorders>
            <w:shd w:val="clear" w:color="auto" w:fill="C6F3FF"/>
            <w:vAlign w:val="center"/>
          </w:tcPr>
          <w:p w14:paraId="6494E51F"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Economy</w:t>
            </w:r>
          </w:p>
        </w:tc>
        <w:tc>
          <w:tcPr>
            <w:tcW w:w="2443" w:type="dxa"/>
            <w:vMerge w:val="restart"/>
            <w:tcBorders>
              <w:top w:val="single" w:sz="4" w:space="0" w:color="auto"/>
              <w:left w:val="single" w:sz="4" w:space="0" w:color="auto"/>
              <w:right w:val="single" w:sz="4" w:space="0" w:color="auto"/>
            </w:tcBorders>
            <w:vAlign w:val="center"/>
          </w:tcPr>
          <w:p w14:paraId="3F26C694"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Transport Reliability &amp; Quality</w:t>
            </w:r>
          </w:p>
        </w:tc>
        <w:tc>
          <w:tcPr>
            <w:tcW w:w="4654" w:type="dxa"/>
            <w:tcBorders>
              <w:top w:val="single" w:sz="4" w:space="0" w:color="auto"/>
              <w:left w:val="nil"/>
              <w:bottom w:val="single" w:sz="4" w:space="0" w:color="auto"/>
              <w:right w:val="single" w:sz="4" w:space="0" w:color="auto"/>
            </w:tcBorders>
            <w:shd w:val="clear" w:color="auto" w:fill="auto"/>
            <w:vAlign w:val="center"/>
          </w:tcPr>
          <w:p w14:paraId="4D9D0052"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Assist in delivering a high-quality sustainable transport network in Dublin to support adopted economic policy, including:</w:t>
            </w:r>
          </w:p>
        </w:tc>
        <w:tc>
          <w:tcPr>
            <w:tcW w:w="1003" w:type="dxa"/>
            <w:tcBorders>
              <w:top w:val="single" w:sz="4" w:space="0" w:color="auto"/>
              <w:left w:val="nil"/>
              <w:bottom w:val="single" w:sz="4" w:space="0" w:color="auto"/>
              <w:right w:val="single" w:sz="4" w:space="0" w:color="auto"/>
            </w:tcBorders>
            <w:vAlign w:val="center"/>
          </w:tcPr>
          <w:p w14:paraId="1B221A7D"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w:t>
            </w:r>
          </w:p>
        </w:tc>
        <w:tc>
          <w:tcPr>
            <w:tcW w:w="1003" w:type="dxa"/>
            <w:tcBorders>
              <w:top w:val="single" w:sz="4" w:space="0" w:color="auto"/>
              <w:left w:val="nil"/>
              <w:bottom w:val="single" w:sz="4" w:space="0" w:color="auto"/>
              <w:right w:val="single" w:sz="4" w:space="0" w:color="auto"/>
            </w:tcBorders>
            <w:vAlign w:val="center"/>
          </w:tcPr>
          <w:p w14:paraId="065EF8F1"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w:t>
            </w:r>
          </w:p>
        </w:tc>
        <w:tc>
          <w:tcPr>
            <w:tcW w:w="1003" w:type="dxa"/>
            <w:tcBorders>
              <w:top w:val="single" w:sz="4" w:space="0" w:color="auto"/>
              <w:left w:val="nil"/>
              <w:bottom w:val="single" w:sz="4" w:space="0" w:color="auto"/>
              <w:right w:val="single" w:sz="4" w:space="0" w:color="auto"/>
            </w:tcBorders>
            <w:vAlign w:val="center"/>
          </w:tcPr>
          <w:p w14:paraId="0480ECA1"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w:t>
            </w:r>
          </w:p>
        </w:tc>
        <w:tc>
          <w:tcPr>
            <w:tcW w:w="1003" w:type="dxa"/>
            <w:tcBorders>
              <w:top w:val="single" w:sz="4" w:space="0" w:color="auto"/>
              <w:left w:val="nil"/>
              <w:bottom w:val="single" w:sz="4" w:space="0" w:color="auto"/>
              <w:right w:val="single" w:sz="4" w:space="0" w:color="auto"/>
            </w:tcBorders>
            <w:vAlign w:val="center"/>
          </w:tcPr>
          <w:p w14:paraId="61027D01"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w:t>
            </w:r>
          </w:p>
        </w:tc>
        <w:tc>
          <w:tcPr>
            <w:tcW w:w="1003" w:type="dxa"/>
            <w:tcBorders>
              <w:top w:val="single" w:sz="4" w:space="0" w:color="auto"/>
              <w:left w:val="nil"/>
              <w:bottom w:val="single" w:sz="4" w:space="0" w:color="auto"/>
              <w:right w:val="single" w:sz="4" w:space="0" w:color="auto"/>
            </w:tcBorders>
            <w:vAlign w:val="center"/>
          </w:tcPr>
          <w:p w14:paraId="3782891F"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w:t>
            </w:r>
          </w:p>
        </w:tc>
      </w:tr>
      <w:tr w:rsidR="00021B22" w:rsidRPr="00021B22" w14:paraId="7FFB9693" w14:textId="77777777" w:rsidTr="00DC4A9E">
        <w:trPr>
          <w:trHeight w:val="373"/>
        </w:trPr>
        <w:tc>
          <w:tcPr>
            <w:tcW w:w="1836" w:type="dxa"/>
            <w:vMerge/>
            <w:tcBorders>
              <w:left w:val="single" w:sz="4" w:space="0" w:color="auto"/>
              <w:right w:val="single" w:sz="4" w:space="0" w:color="auto"/>
            </w:tcBorders>
            <w:shd w:val="clear" w:color="auto" w:fill="C6F3FF"/>
            <w:vAlign w:val="center"/>
          </w:tcPr>
          <w:p w14:paraId="35DCC020"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vMerge/>
            <w:tcBorders>
              <w:left w:val="single" w:sz="4" w:space="0" w:color="auto"/>
              <w:right w:val="single" w:sz="4" w:space="0" w:color="auto"/>
            </w:tcBorders>
            <w:vAlign w:val="center"/>
          </w:tcPr>
          <w:p w14:paraId="70C35FFE"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4654" w:type="dxa"/>
            <w:tcBorders>
              <w:top w:val="single" w:sz="4" w:space="0" w:color="auto"/>
              <w:left w:val="nil"/>
              <w:bottom w:val="single" w:sz="4" w:space="0" w:color="auto"/>
              <w:right w:val="single" w:sz="4" w:space="0" w:color="auto"/>
            </w:tcBorders>
            <w:shd w:val="clear" w:color="auto" w:fill="auto"/>
            <w:vAlign w:val="center"/>
          </w:tcPr>
          <w:p w14:paraId="12468159" w14:textId="77777777" w:rsidR="00DC4A9E" w:rsidRPr="00021B22" w:rsidRDefault="00DC4A9E" w:rsidP="00DC4A9E">
            <w:pPr>
              <w:numPr>
                <w:ilvl w:val="0"/>
                <w:numId w:val="6"/>
              </w:numPr>
              <w:tabs>
                <w:tab w:val="left" w:pos="284"/>
              </w:tabs>
              <w:spacing w:after="0" w:line="240" w:lineRule="auto"/>
              <w:contextualSpacing/>
              <w:jc w:val="both"/>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High quality pedestrian network</w:t>
            </w:r>
          </w:p>
        </w:tc>
        <w:tc>
          <w:tcPr>
            <w:tcW w:w="1003" w:type="dxa"/>
            <w:tcBorders>
              <w:top w:val="single" w:sz="4" w:space="0" w:color="auto"/>
              <w:left w:val="single" w:sz="4" w:space="0" w:color="auto"/>
              <w:bottom w:val="single" w:sz="4" w:space="0" w:color="auto"/>
              <w:right w:val="single" w:sz="4" w:space="0" w:color="auto"/>
            </w:tcBorders>
            <w:shd w:val="clear" w:color="auto" w:fill="FFFF00"/>
            <w:vAlign w:val="center"/>
          </w:tcPr>
          <w:p w14:paraId="35DCE05D"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single" w:sz="4" w:space="0" w:color="auto"/>
              <w:left w:val="nil"/>
              <w:bottom w:val="single" w:sz="4" w:space="0" w:color="auto"/>
              <w:right w:val="single" w:sz="4" w:space="0" w:color="auto"/>
            </w:tcBorders>
            <w:shd w:val="clear" w:color="auto" w:fill="FFFF00"/>
            <w:vAlign w:val="center"/>
          </w:tcPr>
          <w:p w14:paraId="75982FFD"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single" w:sz="4" w:space="0" w:color="auto"/>
              <w:left w:val="nil"/>
              <w:bottom w:val="single" w:sz="4" w:space="0" w:color="auto"/>
              <w:right w:val="single" w:sz="4" w:space="0" w:color="auto"/>
            </w:tcBorders>
            <w:shd w:val="clear" w:color="auto" w:fill="C4FF3E"/>
            <w:vAlign w:val="center"/>
          </w:tcPr>
          <w:p w14:paraId="6A7605CD"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single" w:sz="4" w:space="0" w:color="auto"/>
              <w:left w:val="nil"/>
              <w:bottom w:val="single" w:sz="4" w:space="0" w:color="auto"/>
              <w:right w:val="single" w:sz="4" w:space="0" w:color="auto"/>
            </w:tcBorders>
            <w:shd w:val="clear" w:color="auto" w:fill="C4FF3E"/>
            <w:vAlign w:val="center"/>
          </w:tcPr>
          <w:p w14:paraId="4CC98448"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single" w:sz="4" w:space="0" w:color="auto"/>
              <w:left w:val="nil"/>
              <w:bottom w:val="single" w:sz="4" w:space="0" w:color="auto"/>
              <w:right w:val="single" w:sz="4" w:space="0" w:color="auto"/>
            </w:tcBorders>
            <w:shd w:val="clear" w:color="auto" w:fill="FFFF00"/>
            <w:vAlign w:val="center"/>
          </w:tcPr>
          <w:p w14:paraId="69E48CD4"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r>
      <w:tr w:rsidR="00021B22" w:rsidRPr="00021B22" w14:paraId="7A46A1D0" w14:textId="77777777" w:rsidTr="00DC4A9E">
        <w:trPr>
          <w:trHeight w:val="374"/>
        </w:trPr>
        <w:tc>
          <w:tcPr>
            <w:tcW w:w="1836" w:type="dxa"/>
            <w:vMerge/>
            <w:tcBorders>
              <w:left w:val="single" w:sz="4" w:space="0" w:color="auto"/>
              <w:right w:val="single" w:sz="4" w:space="0" w:color="auto"/>
            </w:tcBorders>
            <w:shd w:val="clear" w:color="auto" w:fill="C6F3FF"/>
            <w:vAlign w:val="center"/>
          </w:tcPr>
          <w:p w14:paraId="71CC8561"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vMerge/>
            <w:tcBorders>
              <w:left w:val="single" w:sz="4" w:space="0" w:color="auto"/>
              <w:right w:val="single" w:sz="4" w:space="0" w:color="auto"/>
            </w:tcBorders>
            <w:vAlign w:val="center"/>
          </w:tcPr>
          <w:p w14:paraId="4E25BD5E"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4654" w:type="dxa"/>
            <w:tcBorders>
              <w:top w:val="single" w:sz="4" w:space="0" w:color="auto"/>
              <w:left w:val="nil"/>
              <w:bottom w:val="single" w:sz="4" w:space="0" w:color="auto"/>
              <w:right w:val="single" w:sz="4" w:space="0" w:color="auto"/>
            </w:tcBorders>
            <w:shd w:val="clear" w:color="auto" w:fill="auto"/>
            <w:vAlign w:val="center"/>
          </w:tcPr>
          <w:p w14:paraId="18DEA4FB" w14:textId="77777777" w:rsidR="00DC4A9E" w:rsidRPr="00021B22" w:rsidRDefault="00DC4A9E" w:rsidP="00DC4A9E">
            <w:pPr>
              <w:numPr>
                <w:ilvl w:val="0"/>
                <w:numId w:val="6"/>
              </w:numPr>
              <w:tabs>
                <w:tab w:val="left" w:pos="284"/>
              </w:tabs>
              <w:spacing w:after="0" w:line="240" w:lineRule="auto"/>
              <w:contextualSpacing/>
              <w:jc w:val="both"/>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High quality cycle network</w:t>
            </w:r>
          </w:p>
        </w:tc>
        <w:tc>
          <w:tcPr>
            <w:tcW w:w="1003" w:type="dxa"/>
            <w:tcBorders>
              <w:top w:val="nil"/>
              <w:left w:val="single" w:sz="4" w:space="0" w:color="auto"/>
              <w:bottom w:val="single" w:sz="4" w:space="0" w:color="auto"/>
              <w:right w:val="single" w:sz="4" w:space="0" w:color="auto"/>
            </w:tcBorders>
            <w:shd w:val="clear" w:color="auto" w:fill="FFFF00"/>
            <w:vAlign w:val="center"/>
          </w:tcPr>
          <w:p w14:paraId="306BDEE4"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nil"/>
              <w:left w:val="nil"/>
              <w:bottom w:val="single" w:sz="4" w:space="0" w:color="auto"/>
              <w:right w:val="single" w:sz="4" w:space="0" w:color="auto"/>
            </w:tcBorders>
            <w:shd w:val="clear" w:color="auto" w:fill="FFFF00"/>
            <w:vAlign w:val="center"/>
          </w:tcPr>
          <w:p w14:paraId="3552A307"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nil"/>
              <w:left w:val="nil"/>
              <w:bottom w:val="single" w:sz="4" w:space="0" w:color="auto"/>
              <w:right w:val="single" w:sz="4" w:space="0" w:color="auto"/>
            </w:tcBorders>
            <w:shd w:val="clear" w:color="auto" w:fill="FFFF00"/>
            <w:vAlign w:val="center"/>
          </w:tcPr>
          <w:p w14:paraId="3E4500FC"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nil"/>
              <w:left w:val="nil"/>
              <w:bottom w:val="single" w:sz="4" w:space="0" w:color="auto"/>
              <w:right w:val="single" w:sz="4" w:space="0" w:color="auto"/>
            </w:tcBorders>
            <w:shd w:val="clear" w:color="auto" w:fill="FFFF00"/>
            <w:vAlign w:val="center"/>
          </w:tcPr>
          <w:p w14:paraId="78439B49"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nil"/>
              <w:left w:val="nil"/>
              <w:bottom w:val="single" w:sz="4" w:space="0" w:color="auto"/>
              <w:right w:val="single" w:sz="4" w:space="0" w:color="auto"/>
            </w:tcBorders>
            <w:shd w:val="clear" w:color="auto" w:fill="FFFF00"/>
            <w:vAlign w:val="center"/>
          </w:tcPr>
          <w:p w14:paraId="54A93442"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r>
      <w:tr w:rsidR="00021B22" w:rsidRPr="00021B22" w14:paraId="1878560E" w14:textId="77777777" w:rsidTr="00DC4A9E">
        <w:trPr>
          <w:trHeight w:val="374"/>
        </w:trPr>
        <w:tc>
          <w:tcPr>
            <w:tcW w:w="1836" w:type="dxa"/>
            <w:vMerge/>
            <w:tcBorders>
              <w:left w:val="single" w:sz="4" w:space="0" w:color="auto"/>
              <w:right w:val="single" w:sz="4" w:space="0" w:color="auto"/>
            </w:tcBorders>
            <w:shd w:val="clear" w:color="auto" w:fill="C6F3FF"/>
            <w:vAlign w:val="center"/>
          </w:tcPr>
          <w:p w14:paraId="02BAA09A"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vMerge/>
            <w:tcBorders>
              <w:left w:val="single" w:sz="4" w:space="0" w:color="auto"/>
              <w:bottom w:val="single" w:sz="4" w:space="0" w:color="auto"/>
              <w:right w:val="single" w:sz="4" w:space="0" w:color="auto"/>
            </w:tcBorders>
            <w:vAlign w:val="center"/>
          </w:tcPr>
          <w:p w14:paraId="4CAFE71F"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4654" w:type="dxa"/>
            <w:tcBorders>
              <w:top w:val="single" w:sz="4" w:space="0" w:color="auto"/>
              <w:left w:val="nil"/>
              <w:bottom w:val="single" w:sz="4" w:space="0" w:color="auto"/>
              <w:right w:val="single" w:sz="4" w:space="0" w:color="auto"/>
            </w:tcBorders>
            <w:shd w:val="clear" w:color="auto" w:fill="auto"/>
            <w:vAlign w:val="center"/>
          </w:tcPr>
          <w:p w14:paraId="13426C6E" w14:textId="77777777" w:rsidR="00DC4A9E" w:rsidRPr="00021B22" w:rsidRDefault="00DC4A9E" w:rsidP="00DC4A9E">
            <w:pPr>
              <w:numPr>
                <w:ilvl w:val="0"/>
                <w:numId w:val="6"/>
              </w:numPr>
              <w:tabs>
                <w:tab w:val="left" w:pos="284"/>
              </w:tabs>
              <w:spacing w:after="0" w:line="240" w:lineRule="auto"/>
              <w:contextualSpacing/>
              <w:jc w:val="both"/>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High quality public transport network</w:t>
            </w:r>
          </w:p>
        </w:tc>
        <w:tc>
          <w:tcPr>
            <w:tcW w:w="1003" w:type="dxa"/>
            <w:tcBorders>
              <w:top w:val="nil"/>
              <w:left w:val="single" w:sz="4" w:space="0" w:color="auto"/>
              <w:bottom w:val="single" w:sz="4" w:space="0" w:color="auto"/>
              <w:right w:val="single" w:sz="4" w:space="0" w:color="auto"/>
            </w:tcBorders>
            <w:shd w:val="clear" w:color="auto" w:fill="C4FF3E"/>
            <w:vAlign w:val="center"/>
          </w:tcPr>
          <w:p w14:paraId="76466C1C"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nil"/>
              <w:left w:val="nil"/>
              <w:bottom w:val="single" w:sz="4" w:space="0" w:color="auto"/>
              <w:right w:val="single" w:sz="4" w:space="0" w:color="auto"/>
            </w:tcBorders>
            <w:shd w:val="clear" w:color="auto" w:fill="00B050"/>
            <w:vAlign w:val="center"/>
          </w:tcPr>
          <w:p w14:paraId="06AE5833"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FFC000"/>
            <w:vAlign w:val="center"/>
          </w:tcPr>
          <w:p w14:paraId="697A50E6"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nil"/>
              <w:left w:val="nil"/>
              <w:bottom w:val="single" w:sz="4" w:space="0" w:color="auto"/>
              <w:right w:val="single" w:sz="4" w:space="0" w:color="auto"/>
            </w:tcBorders>
            <w:shd w:val="clear" w:color="auto" w:fill="FFC000"/>
            <w:vAlign w:val="center"/>
          </w:tcPr>
          <w:p w14:paraId="147E867C"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-1</w:t>
            </w:r>
          </w:p>
        </w:tc>
        <w:tc>
          <w:tcPr>
            <w:tcW w:w="1003" w:type="dxa"/>
            <w:tcBorders>
              <w:top w:val="nil"/>
              <w:left w:val="nil"/>
              <w:bottom w:val="single" w:sz="4" w:space="0" w:color="auto"/>
              <w:right w:val="single" w:sz="4" w:space="0" w:color="auto"/>
            </w:tcBorders>
            <w:shd w:val="clear" w:color="auto" w:fill="00B050"/>
            <w:vAlign w:val="center"/>
          </w:tcPr>
          <w:p w14:paraId="54FA1159"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r>
      <w:tr w:rsidR="00021B22" w:rsidRPr="00021B22" w14:paraId="7AD56232" w14:textId="77777777" w:rsidTr="00DC4A9E">
        <w:trPr>
          <w:trHeight w:val="461"/>
        </w:trPr>
        <w:tc>
          <w:tcPr>
            <w:tcW w:w="1836" w:type="dxa"/>
            <w:vMerge/>
            <w:tcBorders>
              <w:left w:val="single" w:sz="4" w:space="0" w:color="auto"/>
              <w:right w:val="single" w:sz="4" w:space="0" w:color="auto"/>
            </w:tcBorders>
            <w:shd w:val="clear" w:color="auto" w:fill="C6F3FF"/>
            <w:vAlign w:val="center"/>
          </w:tcPr>
          <w:p w14:paraId="5B8A1EF1"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2443" w:type="dxa"/>
            <w:tcBorders>
              <w:top w:val="single" w:sz="4" w:space="0" w:color="auto"/>
              <w:left w:val="single" w:sz="4" w:space="0" w:color="auto"/>
              <w:bottom w:val="single" w:sz="4" w:space="0" w:color="auto"/>
              <w:right w:val="single" w:sz="4" w:space="0" w:color="auto"/>
            </w:tcBorders>
            <w:vAlign w:val="center"/>
          </w:tcPr>
          <w:p w14:paraId="5CD1E4CE"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Other Economic Impacts</w:t>
            </w:r>
          </w:p>
        </w:tc>
        <w:tc>
          <w:tcPr>
            <w:tcW w:w="4654" w:type="dxa"/>
            <w:tcBorders>
              <w:top w:val="single" w:sz="4" w:space="0" w:color="auto"/>
              <w:left w:val="nil"/>
              <w:bottom w:val="single" w:sz="4" w:space="0" w:color="auto"/>
              <w:right w:val="single" w:sz="4" w:space="0" w:color="auto"/>
            </w:tcBorders>
            <w:shd w:val="clear" w:color="auto" w:fill="auto"/>
            <w:vAlign w:val="center"/>
          </w:tcPr>
          <w:p w14:paraId="7B43AA32"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Support the continued economic success of the area to support, communities, business, visitors and tourism</w:t>
            </w:r>
          </w:p>
        </w:tc>
        <w:tc>
          <w:tcPr>
            <w:tcW w:w="1003" w:type="dxa"/>
            <w:tcBorders>
              <w:top w:val="nil"/>
              <w:left w:val="single" w:sz="4" w:space="0" w:color="auto"/>
              <w:bottom w:val="single" w:sz="4" w:space="0" w:color="auto"/>
              <w:right w:val="single" w:sz="4" w:space="0" w:color="auto"/>
            </w:tcBorders>
            <w:shd w:val="clear" w:color="auto" w:fill="FFFF00"/>
            <w:vAlign w:val="center"/>
          </w:tcPr>
          <w:p w14:paraId="6DE52790"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0</w:t>
            </w:r>
          </w:p>
        </w:tc>
        <w:tc>
          <w:tcPr>
            <w:tcW w:w="1003" w:type="dxa"/>
            <w:tcBorders>
              <w:top w:val="nil"/>
              <w:left w:val="nil"/>
              <w:bottom w:val="single" w:sz="4" w:space="0" w:color="auto"/>
              <w:right w:val="single" w:sz="4" w:space="0" w:color="auto"/>
            </w:tcBorders>
            <w:shd w:val="clear" w:color="auto" w:fill="FF0000"/>
            <w:vAlign w:val="center"/>
          </w:tcPr>
          <w:p w14:paraId="0B2BB2A1"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00B050"/>
            <w:vAlign w:val="center"/>
          </w:tcPr>
          <w:p w14:paraId="267092F2"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00B050"/>
            <w:vAlign w:val="center"/>
          </w:tcPr>
          <w:p w14:paraId="47C21A31"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c>
          <w:tcPr>
            <w:tcW w:w="1003" w:type="dxa"/>
            <w:tcBorders>
              <w:top w:val="nil"/>
              <w:left w:val="nil"/>
              <w:bottom w:val="single" w:sz="4" w:space="0" w:color="auto"/>
              <w:right w:val="single" w:sz="4" w:space="0" w:color="auto"/>
            </w:tcBorders>
            <w:shd w:val="clear" w:color="auto" w:fill="FF0000"/>
            <w:vAlign w:val="center"/>
          </w:tcPr>
          <w:p w14:paraId="7C73A031" w14:textId="77777777" w:rsidR="00DC4A9E" w:rsidRPr="00021B22" w:rsidRDefault="00DC4A9E" w:rsidP="00DC4A9E">
            <w:pPr>
              <w:spacing w:after="0" w:line="240" w:lineRule="auto"/>
              <w:jc w:val="center"/>
              <w:rPr>
                <w:rFonts w:ascii="AECOM Sans Light" w:eastAsia="Times New Roman" w:hAnsi="AECOM Sans Light" w:cs="AECOM Sans Light"/>
                <w:sz w:val="18"/>
                <w:szCs w:val="18"/>
                <w:lang w:eastAsia="en-GB"/>
              </w:rPr>
            </w:pPr>
            <w:r w:rsidRPr="00021B22">
              <w:rPr>
                <w:rFonts w:ascii="AECOM Sans Light" w:eastAsia="Arial" w:hAnsi="AECOM Sans Light" w:cs="AECOM Sans Light"/>
                <w:kern w:val="18"/>
                <w:sz w:val="18"/>
                <w:szCs w:val="18"/>
              </w:rPr>
              <w:t>-2</w:t>
            </w:r>
          </w:p>
        </w:tc>
      </w:tr>
      <w:tr w:rsidR="00021B22" w:rsidRPr="00021B22" w14:paraId="6C609E0A" w14:textId="77777777" w:rsidTr="00DC4A9E">
        <w:trPr>
          <w:trHeight w:val="317"/>
        </w:trPr>
        <w:tc>
          <w:tcPr>
            <w:tcW w:w="1836" w:type="dxa"/>
            <w:vMerge/>
            <w:tcBorders>
              <w:left w:val="single" w:sz="4" w:space="0" w:color="auto"/>
              <w:bottom w:val="single" w:sz="4" w:space="0" w:color="auto"/>
              <w:right w:val="single" w:sz="4" w:space="0" w:color="auto"/>
            </w:tcBorders>
            <w:shd w:val="clear" w:color="auto" w:fill="C6F3FF"/>
            <w:vAlign w:val="center"/>
          </w:tcPr>
          <w:p w14:paraId="672515AB" w14:textId="77777777" w:rsidR="00DC4A9E" w:rsidRPr="00021B22" w:rsidRDefault="00DC4A9E" w:rsidP="00DC4A9E">
            <w:pPr>
              <w:spacing w:after="0" w:line="240" w:lineRule="auto"/>
              <w:rPr>
                <w:rFonts w:ascii="AECOM Sans Light" w:eastAsia="Times New Roman" w:hAnsi="AECOM Sans Light" w:cs="AECOM Sans Light"/>
                <w:sz w:val="18"/>
                <w:szCs w:val="18"/>
                <w:lang w:eastAsia="en-GB"/>
              </w:rPr>
            </w:pPr>
          </w:p>
        </w:tc>
        <w:tc>
          <w:tcPr>
            <w:tcW w:w="7097" w:type="dxa"/>
            <w:gridSpan w:val="2"/>
            <w:tcBorders>
              <w:top w:val="single" w:sz="4" w:space="0" w:color="auto"/>
              <w:left w:val="single" w:sz="4" w:space="0" w:color="auto"/>
              <w:bottom w:val="single" w:sz="4" w:space="0" w:color="auto"/>
              <w:right w:val="single" w:sz="4" w:space="0" w:color="auto"/>
            </w:tcBorders>
            <w:shd w:val="clear" w:color="auto" w:fill="C6F3FF"/>
            <w:vAlign w:val="center"/>
          </w:tcPr>
          <w:p w14:paraId="14BD248E" w14:textId="77777777" w:rsidR="00DC4A9E" w:rsidRPr="00021B22" w:rsidRDefault="00DC4A9E" w:rsidP="00DC4A9E">
            <w:pPr>
              <w:spacing w:after="0" w:line="240" w:lineRule="auto"/>
              <w:jc w:val="right"/>
              <w:rPr>
                <w:rFonts w:ascii="AECOM Sans Light" w:eastAsia="Times New Roman" w:hAnsi="AECOM Sans Light" w:cs="AECOM Sans Light"/>
                <w:sz w:val="18"/>
                <w:szCs w:val="18"/>
                <w:lang w:eastAsia="en-GB"/>
              </w:rPr>
            </w:pPr>
            <w:r w:rsidRPr="00021B22">
              <w:rPr>
                <w:rFonts w:ascii="AECOM Sans Light" w:eastAsia="Times New Roman" w:hAnsi="AECOM Sans Light" w:cs="AECOM Sans Light"/>
                <w:sz w:val="18"/>
                <w:szCs w:val="18"/>
                <w:lang w:eastAsia="en-GB"/>
              </w:rPr>
              <w:t xml:space="preserve"> Criteria Sub-Total (Average)</w:t>
            </w:r>
          </w:p>
        </w:tc>
        <w:tc>
          <w:tcPr>
            <w:tcW w:w="1003" w:type="dxa"/>
            <w:tcBorders>
              <w:top w:val="nil"/>
              <w:left w:val="single" w:sz="4" w:space="0" w:color="auto"/>
              <w:bottom w:val="single" w:sz="4" w:space="0" w:color="auto"/>
              <w:right w:val="single" w:sz="4" w:space="0" w:color="auto"/>
            </w:tcBorders>
            <w:shd w:val="clear" w:color="auto" w:fill="C6F3FF"/>
            <w:vAlign w:val="center"/>
          </w:tcPr>
          <w:p w14:paraId="3730107C"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0.25</w:t>
            </w:r>
          </w:p>
        </w:tc>
        <w:tc>
          <w:tcPr>
            <w:tcW w:w="1003" w:type="dxa"/>
            <w:tcBorders>
              <w:top w:val="nil"/>
              <w:left w:val="nil"/>
              <w:bottom w:val="single" w:sz="4" w:space="0" w:color="auto"/>
              <w:right w:val="single" w:sz="4" w:space="0" w:color="auto"/>
            </w:tcBorders>
            <w:shd w:val="clear" w:color="auto" w:fill="C6F3FF"/>
            <w:vAlign w:val="center"/>
          </w:tcPr>
          <w:p w14:paraId="49F54807"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0</w:t>
            </w:r>
          </w:p>
        </w:tc>
        <w:tc>
          <w:tcPr>
            <w:tcW w:w="1003" w:type="dxa"/>
            <w:tcBorders>
              <w:top w:val="nil"/>
              <w:left w:val="nil"/>
              <w:bottom w:val="single" w:sz="4" w:space="0" w:color="auto"/>
              <w:right w:val="single" w:sz="4" w:space="0" w:color="auto"/>
            </w:tcBorders>
            <w:shd w:val="clear" w:color="auto" w:fill="C6F3FF"/>
            <w:vAlign w:val="center"/>
          </w:tcPr>
          <w:p w14:paraId="61D90C5B"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0.5</w:t>
            </w:r>
          </w:p>
        </w:tc>
        <w:tc>
          <w:tcPr>
            <w:tcW w:w="1003" w:type="dxa"/>
            <w:tcBorders>
              <w:top w:val="nil"/>
              <w:left w:val="nil"/>
              <w:bottom w:val="single" w:sz="4" w:space="0" w:color="auto"/>
              <w:right w:val="single" w:sz="4" w:space="0" w:color="auto"/>
            </w:tcBorders>
            <w:shd w:val="clear" w:color="auto" w:fill="C6F3FF"/>
            <w:vAlign w:val="center"/>
          </w:tcPr>
          <w:p w14:paraId="5EBBFAC3"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0.5</w:t>
            </w:r>
          </w:p>
        </w:tc>
        <w:tc>
          <w:tcPr>
            <w:tcW w:w="1003" w:type="dxa"/>
            <w:tcBorders>
              <w:top w:val="nil"/>
              <w:left w:val="nil"/>
              <w:bottom w:val="single" w:sz="4" w:space="0" w:color="auto"/>
              <w:right w:val="single" w:sz="4" w:space="0" w:color="auto"/>
            </w:tcBorders>
            <w:shd w:val="clear" w:color="auto" w:fill="C6F3FF"/>
            <w:vAlign w:val="center"/>
          </w:tcPr>
          <w:p w14:paraId="6C9006C5" w14:textId="77777777" w:rsidR="00DC4A9E" w:rsidRPr="00021B22" w:rsidRDefault="00DC4A9E" w:rsidP="00DC4A9E">
            <w:pPr>
              <w:spacing w:after="0" w:line="240" w:lineRule="auto"/>
              <w:jc w:val="center"/>
              <w:rPr>
                <w:rFonts w:ascii="AECOM Sans Light" w:eastAsia="Arial" w:hAnsi="AECOM Sans Light" w:cs="AECOM Sans Light"/>
                <w:kern w:val="18"/>
                <w:sz w:val="18"/>
                <w:szCs w:val="18"/>
              </w:rPr>
            </w:pPr>
            <w:r w:rsidRPr="00021B22">
              <w:rPr>
                <w:rFonts w:ascii="AECOM Sans Light" w:eastAsia="Arial" w:hAnsi="AECOM Sans Light" w:cs="AECOM Sans Light"/>
                <w:kern w:val="18"/>
                <w:sz w:val="18"/>
                <w:szCs w:val="18"/>
              </w:rPr>
              <w:t>0</w:t>
            </w:r>
          </w:p>
        </w:tc>
      </w:tr>
      <w:tr w:rsidR="00021B22" w:rsidRPr="00021B22" w14:paraId="4091D701" w14:textId="77777777" w:rsidTr="00DC4A9E">
        <w:trPr>
          <w:trHeight w:val="461"/>
        </w:trPr>
        <w:tc>
          <w:tcPr>
            <w:tcW w:w="8933" w:type="dxa"/>
            <w:gridSpan w:val="3"/>
            <w:tcBorders>
              <w:top w:val="single" w:sz="4" w:space="0" w:color="auto"/>
              <w:left w:val="single" w:sz="4" w:space="0" w:color="auto"/>
              <w:bottom w:val="single" w:sz="4" w:space="0" w:color="auto"/>
              <w:right w:val="single" w:sz="4" w:space="0" w:color="auto"/>
            </w:tcBorders>
            <w:shd w:val="clear" w:color="auto" w:fill="00B5E2"/>
            <w:vAlign w:val="center"/>
          </w:tcPr>
          <w:p w14:paraId="519BC3D1" w14:textId="77777777" w:rsidR="00DC4A9E" w:rsidRPr="00021B22" w:rsidRDefault="00DC4A9E" w:rsidP="00DC4A9E">
            <w:pPr>
              <w:spacing w:after="0" w:line="240" w:lineRule="auto"/>
              <w:jc w:val="right"/>
              <w:rPr>
                <w:rFonts w:ascii="AECOM Sans Light" w:eastAsia="Times New Roman" w:hAnsi="AECOM Sans Light" w:cs="AECOM Sans Light"/>
                <w:b/>
                <w:sz w:val="18"/>
                <w:szCs w:val="18"/>
                <w:lang w:eastAsia="en-GB"/>
              </w:rPr>
            </w:pPr>
            <w:r w:rsidRPr="00021B22">
              <w:rPr>
                <w:rFonts w:ascii="AECOM Sans Light" w:eastAsia="Times New Roman" w:hAnsi="AECOM Sans Light" w:cs="AECOM Sans Light"/>
                <w:b/>
                <w:sz w:val="18"/>
                <w:szCs w:val="18"/>
                <w:lang w:eastAsia="en-GB"/>
              </w:rPr>
              <w:t>Total Appraisal Score</w:t>
            </w:r>
          </w:p>
        </w:tc>
        <w:tc>
          <w:tcPr>
            <w:tcW w:w="1003" w:type="dxa"/>
            <w:tcBorders>
              <w:top w:val="single" w:sz="4" w:space="0" w:color="auto"/>
              <w:left w:val="single" w:sz="4" w:space="0" w:color="auto"/>
              <w:bottom w:val="single" w:sz="4" w:space="0" w:color="auto"/>
              <w:right w:val="single" w:sz="4" w:space="0" w:color="auto"/>
            </w:tcBorders>
            <w:shd w:val="clear" w:color="auto" w:fill="00B5E2"/>
            <w:vAlign w:val="center"/>
          </w:tcPr>
          <w:p w14:paraId="5FB40F34" w14:textId="77777777" w:rsidR="00DC4A9E" w:rsidRPr="00021B22" w:rsidRDefault="00DC4A9E" w:rsidP="00DC4A9E">
            <w:pPr>
              <w:spacing w:after="0" w:line="240" w:lineRule="auto"/>
              <w:jc w:val="center"/>
              <w:rPr>
                <w:rFonts w:ascii="AECOM Sans Light" w:eastAsia="Arial" w:hAnsi="AECOM Sans Light" w:cs="AECOM Sans Light"/>
                <w:b/>
                <w:kern w:val="18"/>
                <w:sz w:val="18"/>
                <w:szCs w:val="18"/>
              </w:rPr>
            </w:pPr>
            <w:r w:rsidRPr="00021B22">
              <w:rPr>
                <w:rFonts w:ascii="AECOM Sans Light" w:eastAsia="Arial" w:hAnsi="AECOM Sans Light" w:cs="AECOM Sans Light"/>
                <w:b/>
                <w:kern w:val="18"/>
                <w:sz w:val="18"/>
                <w:szCs w:val="18"/>
              </w:rPr>
              <w:t>-0.65</w:t>
            </w:r>
          </w:p>
        </w:tc>
        <w:tc>
          <w:tcPr>
            <w:tcW w:w="1003" w:type="dxa"/>
            <w:tcBorders>
              <w:top w:val="single" w:sz="4" w:space="0" w:color="auto"/>
              <w:left w:val="nil"/>
              <w:bottom w:val="single" w:sz="4" w:space="0" w:color="auto"/>
              <w:right w:val="single" w:sz="4" w:space="0" w:color="auto"/>
            </w:tcBorders>
            <w:shd w:val="clear" w:color="auto" w:fill="00B5E2"/>
            <w:vAlign w:val="center"/>
          </w:tcPr>
          <w:p w14:paraId="19B81569" w14:textId="77777777" w:rsidR="00DC4A9E" w:rsidRPr="00021B22" w:rsidRDefault="00DC4A9E" w:rsidP="00DC4A9E">
            <w:pPr>
              <w:spacing w:after="0" w:line="240" w:lineRule="auto"/>
              <w:jc w:val="center"/>
              <w:rPr>
                <w:rFonts w:ascii="AECOM Sans Light" w:eastAsia="Arial" w:hAnsi="AECOM Sans Light" w:cs="AECOM Sans Light"/>
                <w:b/>
                <w:kern w:val="18"/>
                <w:sz w:val="18"/>
                <w:szCs w:val="18"/>
              </w:rPr>
            </w:pPr>
            <w:r w:rsidRPr="00021B22">
              <w:rPr>
                <w:rFonts w:ascii="AECOM Sans Light" w:eastAsia="Arial" w:hAnsi="AECOM Sans Light" w:cs="AECOM Sans Light"/>
                <w:b/>
                <w:kern w:val="18"/>
                <w:sz w:val="18"/>
                <w:szCs w:val="18"/>
              </w:rPr>
              <w:t>-7.3</w:t>
            </w:r>
          </w:p>
        </w:tc>
        <w:tc>
          <w:tcPr>
            <w:tcW w:w="1003" w:type="dxa"/>
            <w:tcBorders>
              <w:top w:val="single" w:sz="4" w:space="0" w:color="auto"/>
              <w:left w:val="nil"/>
              <w:bottom w:val="single" w:sz="4" w:space="0" w:color="auto"/>
              <w:right w:val="single" w:sz="4" w:space="0" w:color="auto"/>
            </w:tcBorders>
            <w:shd w:val="clear" w:color="auto" w:fill="00B5E2"/>
            <w:vAlign w:val="center"/>
          </w:tcPr>
          <w:p w14:paraId="461A169D" w14:textId="77777777" w:rsidR="00DC4A9E" w:rsidRPr="00021B22" w:rsidRDefault="00DC4A9E" w:rsidP="00DC4A9E">
            <w:pPr>
              <w:spacing w:after="0" w:line="240" w:lineRule="auto"/>
              <w:jc w:val="center"/>
              <w:rPr>
                <w:rFonts w:ascii="AECOM Sans Light" w:eastAsia="Arial" w:hAnsi="AECOM Sans Light" w:cs="AECOM Sans Light"/>
                <w:b/>
                <w:kern w:val="18"/>
                <w:sz w:val="18"/>
                <w:szCs w:val="18"/>
              </w:rPr>
            </w:pPr>
            <w:r w:rsidRPr="00021B22">
              <w:rPr>
                <w:rFonts w:ascii="AECOM Sans Light" w:eastAsia="Arial" w:hAnsi="AECOM Sans Light" w:cs="AECOM Sans Light"/>
                <w:b/>
                <w:kern w:val="18"/>
                <w:sz w:val="18"/>
                <w:szCs w:val="18"/>
              </w:rPr>
              <w:t>7</w:t>
            </w:r>
          </w:p>
        </w:tc>
        <w:tc>
          <w:tcPr>
            <w:tcW w:w="1003" w:type="dxa"/>
            <w:tcBorders>
              <w:top w:val="single" w:sz="4" w:space="0" w:color="auto"/>
              <w:left w:val="nil"/>
              <w:bottom w:val="single" w:sz="4" w:space="0" w:color="auto"/>
              <w:right w:val="single" w:sz="4" w:space="0" w:color="auto"/>
            </w:tcBorders>
            <w:shd w:val="clear" w:color="auto" w:fill="00B5E2"/>
            <w:vAlign w:val="center"/>
          </w:tcPr>
          <w:p w14:paraId="71E26B16" w14:textId="77777777" w:rsidR="00DC4A9E" w:rsidRPr="00021B22" w:rsidRDefault="00DC4A9E" w:rsidP="00DC4A9E">
            <w:pPr>
              <w:spacing w:after="0" w:line="240" w:lineRule="auto"/>
              <w:jc w:val="center"/>
              <w:rPr>
                <w:rFonts w:ascii="AECOM Sans Light" w:eastAsia="Arial" w:hAnsi="AECOM Sans Light" w:cs="AECOM Sans Light"/>
                <w:b/>
                <w:kern w:val="18"/>
                <w:sz w:val="18"/>
                <w:szCs w:val="18"/>
              </w:rPr>
            </w:pPr>
            <w:r w:rsidRPr="00021B22">
              <w:rPr>
                <w:rFonts w:ascii="AECOM Sans Light" w:eastAsia="Arial" w:hAnsi="AECOM Sans Light" w:cs="AECOM Sans Light"/>
                <w:b/>
                <w:kern w:val="18"/>
                <w:sz w:val="18"/>
                <w:szCs w:val="18"/>
              </w:rPr>
              <w:t>8.4</w:t>
            </w:r>
          </w:p>
        </w:tc>
        <w:tc>
          <w:tcPr>
            <w:tcW w:w="1003" w:type="dxa"/>
            <w:tcBorders>
              <w:top w:val="single" w:sz="4" w:space="0" w:color="auto"/>
              <w:left w:val="nil"/>
              <w:bottom w:val="single" w:sz="4" w:space="0" w:color="auto"/>
              <w:right w:val="single" w:sz="4" w:space="0" w:color="auto"/>
            </w:tcBorders>
            <w:shd w:val="clear" w:color="auto" w:fill="00B5E2"/>
            <w:vAlign w:val="center"/>
          </w:tcPr>
          <w:p w14:paraId="163313F8" w14:textId="77777777" w:rsidR="00DC4A9E" w:rsidRPr="00021B22" w:rsidRDefault="00DC4A9E" w:rsidP="00DC4A9E">
            <w:pPr>
              <w:keepNext/>
              <w:spacing w:after="0" w:line="240" w:lineRule="auto"/>
              <w:jc w:val="center"/>
              <w:rPr>
                <w:rFonts w:ascii="AECOM Sans Light" w:eastAsia="Arial" w:hAnsi="AECOM Sans Light" w:cs="AECOM Sans Light"/>
                <w:b/>
                <w:kern w:val="18"/>
                <w:sz w:val="18"/>
                <w:szCs w:val="18"/>
              </w:rPr>
            </w:pPr>
            <w:r w:rsidRPr="00021B22">
              <w:rPr>
                <w:rFonts w:ascii="AECOM Sans Light" w:eastAsia="Arial" w:hAnsi="AECOM Sans Light" w:cs="AECOM Sans Light"/>
                <w:b/>
                <w:kern w:val="18"/>
                <w:sz w:val="18"/>
                <w:szCs w:val="18"/>
              </w:rPr>
              <w:t>-7.3</w:t>
            </w:r>
          </w:p>
        </w:tc>
      </w:tr>
    </w:tbl>
    <w:bookmarkEnd w:id="1"/>
    <w:p w14:paraId="43ADD74B" w14:textId="1F45CA06" w:rsidR="00DC4A9E" w:rsidRPr="00021B22" w:rsidRDefault="00DC4A9E" w:rsidP="00DC4A9E">
      <w:pPr>
        <w:pStyle w:val="Caption"/>
        <w:rPr>
          <w:color w:val="auto"/>
        </w:rPr>
        <w:sectPr w:rsidR="00DC4A9E" w:rsidRPr="00021B22" w:rsidSect="00DC4A9E">
          <w:pgSz w:w="16838" w:h="11906" w:orient="landscape"/>
          <w:pgMar w:top="1440" w:right="1440" w:bottom="1440" w:left="1440" w:header="708" w:footer="708" w:gutter="0"/>
          <w:cols w:space="708"/>
          <w:docGrid w:linePitch="360"/>
        </w:sectPr>
      </w:pPr>
      <w:r w:rsidRPr="00021B22">
        <w:rPr>
          <w:color w:val="auto"/>
        </w:rPr>
        <w:t xml:space="preserve">Table </w:t>
      </w:r>
      <w:r w:rsidR="00021B22" w:rsidRPr="00021B22">
        <w:rPr>
          <w:color w:val="auto"/>
        </w:rPr>
        <w:fldChar w:fldCharType="begin"/>
      </w:r>
      <w:r w:rsidR="00021B22" w:rsidRPr="00021B22">
        <w:rPr>
          <w:color w:val="auto"/>
        </w:rPr>
        <w:instrText xml:space="preserve"> SEQ Table \* ARABIC </w:instrText>
      </w:r>
      <w:r w:rsidR="00021B22" w:rsidRPr="00021B22">
        <w:rPr>
          <w:color w:val="auto"/>
        </w:rPr>
        <w:fldChar w:fldCharType="separate"/>
      </w:r>
      <w:r w:rsidRPr="00021B22">
        <w:rPr>
          <w:noProof/>
          <w:color w:val="auto"/>
        </w:rPr>
        <w:t>1</w:t>
      </w:r>
      <w:r w:rsidR="00021B22" w:rsidRPr="00021B22">
        <w:rPr>
          <w:noProof/>
          <w:color w:val="auto"/>
        </w:rPr>
        <w:fldChar w:fldCharType="end"/>
      </w:r>
      <w:r w:rsidRPr="00021B22">
        <w:rPr>
          <w:color w:val="auto"/>
        </w:rPr>
        <w:t xml:space="preserve"> MCA</w:t>
      </w:r>
    </w:p>
    <w:p w14:paraId="24DF861E" w14:textId="77777777" w:rsidR="008655B9" w:rsidRPr="00021B22" w:rsidRDefault="00DC12E9">
      <w:r w:rsidRPr="00021B22">
        <w:lastRenderedPageBreak/>
        <w:t>D</w:t>
      </w:r>
      <w:r w:rsidR="00016427" w:rsidRPr="00021B22">
        <w:t>ublin City Council</w:t>
      </w:r>
      <w:r w:rsidRPr="00021B22">
        <w:t xml:space="preserve"> now propose</w:t>
      </w:r>
      <w:r w:rsidR="00016427" w:rsidRPr="00021B22">
        <w:t>s</w:t>
      </w:r>
      <w:r w:rsidRPr="00021B22">
        <w:t xml:space="preserve"> to only </w:t>
      </w:r>
      <w:r w:rsidR="00A00F3C" w:rsidRPr="00021B22">
        <w:t>continue work on either</w:t>
      </w:r>
      <w:r w:rsidR="0093645D" w:rsidRPr="00021B22">
        <w:t xml:space="preserve"> </w:t>
      </w:r>
      <w:r w:rsidRPr="00021B22">
        <w:t xml:space="preserve">Option 3 or </w:t>
      </w:r>
      <w:r w:rsidR="0093645D" w:rsidRPr="00021B22">
        <w:t>4. T</w:t>
      </w:r>
      <w:r w:rsidRPr="00021B22">
        <w:t xml:space="preserve">he other options will not be progressed. </w:t>
      </w:r>
      <w:r w:rsidR="00E37AC3" w:rsidRPr="00021B22">
        <w:t>The</w:t>
      </w:r>
      <w:r w:rsidR="00FE13ED" w:rsidRPr="00021B22">
        <w:t xml:space="preserve"> two options are </w:t>
      </w:r>
      <w:r w:rsidR="0093645D" w:rsidRPr="00021B22">
        <w:t>illustrated</w:t>
      </w:r>
      <w:r w:rsidR="008D7CB1" w:rsidRPr="00021B22">
        <w:t xml:space="preserve"> below</w:t>
      </w:r>
      <w:r w:rsidR="008655B9" w:rsidRPr="00021B22">
        <w:t>:</w:t>
      </w:r>
    </w:p>
    <w:p w14:paraId="2E28F701" w14:textId="77777777" w:rsidR="00FE13ED" w:rsidRPr="00021B22" w:rsidRDefault="008655B9">
      <w:pPr>
        <w:rPr>
          <w:b/>
        </w:rPr>
      </w:pPr>
      <w:r w:rsidRPr="00021B22">
        <w:rPr>
          <w:b/>
        </w:rPr>
        <w:t>Option 3:</w:t>
      </w:r>
      <w:r w:rsidR="00D873B5" w:rsidRPr="00021B22">
        <w:rPr>
          <w:b/>
        </w:rPr>
        <w:t xml:space="preserve"> </w:t>
      </w:r>
    </w:p>
    <w:p w14:paraId="7498AD7D" w14:textId="0B9B68CB" w:rsidR="00D873B5" w:rsidRPr="00021B22" w:rsidRDefault="008655B9">
      <w:r w:rsidRPr="00021B22">
        <w:rPr>
          <w:noProof/>
          <w:lang w:eastAsia="en-IE"/>
        </w:rPr>
        <w:drawing>
          <wp:inline distT="0" distB="0" distL="0" distR="0" wp14:anchorId="4B7B5594" wp14:editId="5CD06F35">
            <wp:extent cx="4865298" cy="3450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6788" cy="3458489"/>
                    </a:xfrm>
                    <a:prstGeom prst="rect">
                      <a:avLst/>
                    </a:prstGeom>
                  </pic:spPr>
                </pic:pic>
              </a:graphicData>
            </a:graphic>
          </wp:inline>
        </w:drawing>
      </w:r>
    </w:p>
    <w:p w14:paraId="35F03400" w14:textId="0787EEE6" w:rsidR="00321275" w:rsidRPr="00021B22" w:rsidRDefault="00321275" w:rsidP="00321275">
      <w:pPr>
        <w:rPr>
          <w:i/>
          <w:sz w:val="18"/>
          <w:szCs w:val="18"/>
        </w:rPr>
      </w:pPr>
      <w:r w:rsidRPr="00021B22">
        <w:rPr>
          <w:i/>
          <w:sz w:val="18"/>
          <w:szCs w:val="18"/>
        </w:rPr>
        <w:t>Figure 5 24hour vehicular deliveries and access from Dame Street: between South Great George</w:t>
      </w:r>
      <w:r w:rsidR="007016B0" w:rsidRPr="00021B22">
        <w:rPr>
          <w:i/>
          <w:sz w:val="18"/>
          <w:szCs w:val="18"/>
        </w:rPr>
        <w:t>’</w:t>
      </w:r>
      <w:r w:rsidRPr="00021B22">
        <w:rPr>
          <w:i/>
          <w:sz w:val="18"/>
          <w:szCs w:val="18"/>
        </w:rPr>
        <w:t xml:space="preserve">s Street and </w:t>
      </w:r>
      <w:proofErr w:type="spellStart"/>
      <w:r w:rsidRPr="00021B22">
        <w:rPr>
          <w:i/>
          <w:sz w:val="18"/>
          <w:szCs w:val="18"/>
        </w:rPr>
        <w:t>Anglesea</w:t>
      </w:r>
      <w:proofErr w:type="spellEnd"/>
      <w:r w:rsidRPr="00021B22">
        <w:rPr>
          <w:i/>
          <w:sz w:val="18"/>
          <w:szCs w:val="18"/>
        </w:rPr>
        <w:t xml:space="preserve"> Street area (MCA Option 3). Multi Criteria Analysis (MCA) diagram</w:t>
      </w:r>
    </w:p>
    <w:p w14:paraId="210CA858" w14:textId="77777777" w:rsidR="00321275" w:rsidRPr="00021B22" w:rsidRDefault="00321275" w:rsidP="00321275">
      <w:pPr>
        <w:rPr>
          <w:i/>
          <w:sz w:val="18"/>
          <w:szCs w:val="18"/>
        </w:rPr>
      </w:pPr>
    </w:p>
    <w:p w14:paraId="22E147E7" w14:textId="0CED3E3D" w:rsidR="00E76388" w:rsidRPr="00021B22" w:rsidRDefault="00102B18">
      <w:r w:rsidRPr="00021B22">
        <w:rPr>
          <w:noProof/>
          <w:lang w:eastAsia="en-IE"/>
        </w:rPr>
        <w:drawing>
          <wp:inline distT="0" distB="0" distL="0" distR="0" wp14:anchorId="6B4ABBBA" wp14:editId="790B6D84">
            <wp:extent cx="5731510" cy="2682168"/>
            <wp:effectExtent l="0" t="0" r="2540" b="4445"/>
            <wp:docPr id="13" name="Picture 13" descr="Q:\PROJECTS\CA20003 College Green 2\12 Photos - Images\Traffic movement diagrams\College Green - updated traffic diagram slides-Opt3before11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PROJECTS\CA20003 College Green 2\12 Photos - Images\Traffic movement diagrams\College Green - updated traffic diagram slides-Opt3before11a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82168"/>
                    </a:xfrm>
                    <a:prstGeom prst="rect">
                      <a:avLst/>
                    </a:prstGeom>
                    <a:noFill/>
                    <a:ln>
                      <a:noFill/>
                    </a:ln>
                  </pic:spPr>
                </pic:pic>
              </a:graphicData>
            </a:graphic>
          </wp:inline>
        </w:drawing>
      </w:r>
    </w:p>
    <w:p w14:paraId="2E9860A0" w14:textId="25CABA48" w:rsidR="00E76388" w:rsidRPr="00021B22" w:rsidRDefault="00321275" w:rsidP="00832834">
      <w:pPr>
        <w:rPr>
          <w:i/>
          <w:sz w:val="18"/>
          <w:szCs w:val="18"/>
        </w:rPr>
      </w:pPr>
      <w:r w:rsidRPr="00021B22">
        <w:rPr>
          <w:i/>
          <w:sz w:val="18"/>
          <w:szCs w:val="18"/>
        </w:rPr>
        <w:t xml:space="preserve">Figure 6 </w:t>
      </w:r>
      <w:r w:rsidR="00832834" w:rsidRPr="00021B22">
        <w:rPr>
          <w:i/>
          <w:sz w:val="18"/>
          <w:szCs w:val="18"/>
        </w:rPr>
        <w:t>24hour vehicular deliveries and access from Dame Street: between South Great George</w:t>
      </w:r>
      <w:r w:rsidR="007016B0" w:rsidRPr="00021B22">
        <w:rPr>
          <w:i/>
          <w:sz w:val="18"/>
          <w:szCs w:val="18"/>
        </w:rPr>
        <w:t>’</w:t>
      </w:r>
      <w:r w:rsidR="00832834" w:rsidRPr="00021B22">
        <w:rPr>
          <w:i/>
          <w:sz w:val="18"/>
          <w:szCs w:val="18"/>
        </w:rPr>
        <w:t xml:space="preserve">s Street and </w:t>
      </w:r>
      <w:proofErr w:type="spellStart"/>
      <w:r w:rsidR="00832834" w:rsidRPr="00021B22">
        <w:rPr>
          <w:i/>
          <w:sz w:val="18"/>
          <w:szCs w:val="18"/>
        </w:rPr>
        <w:t>Anglesea</w:t>
      </w:r>
      <w:proofErr w:type="spellEnd"/>
      <w:r w:rsidR="00832834" w:rsidRPr="00021B22">
        <w:rPr>
          <w:i/>
          <w:sz w:val="18"/>
          <w:szCs w:val="18"/>
        </w:rPr>
        <w:t xml:space="preserve"> Street area (MCA Option 3). Traffic movement diagram showing situation up to 11.00am</w:t>
      </w:r>
    </w:p>
    <w:p w14:paraId="183B8E53" w14:textId="05C575BF" w:rsidR="00832834" w:rsidRPr="00021B22" w:rsidRDefault="00832834">
      <w:r w:rsidRPr="00021B22">
        <w:rPr>
          <w:noProof/>
          <w:lang w:eastAsia="en-IE"/>
        </w:rPr>
        <w:lastRenderedPageBreak/>
        <w:drawing>
          <wp:inline distT="0" distB="0" distL="0" distR="0" wp14:anchorId="30AC7041" wp14:editId="7751520B">
            <wp:extent cx="5731510" cy="2682168"/>
            <wp:effectExtent l="0" t="0" r="2540" b="4445"/>
            <wp:docPr id="14" name="Picture 14" descr="Q:\PROJECTS\CA20003 College Green 2\12 Photos - Images\Traffic movement diagrams\College Green - updated traffic diagram slides-Opt3after11am-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PROJECTS\CA20003 College Green 2\12 Photos - Images\Traffic movement diagrams\College Green - updated traffic diagram slides-Opt3after11am-cro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682168"/>
                    </a:xfrm>
                    <a:prstGeom prst="rect">
                      <a:avLst/>
                    </a:prstGeom>
                    <a:noFill/>
                    <a:ln>
                      <a:noFill/>
                    </a:ln>
                  </pic:spPr>
                </pic:pic>
              </a:graphicData>
            </a:graphic>
          </wp:inline>
        </w:drawing>
      </w:r>
    </w:p>
    <w:p w14:paraId="0342DCB5" w14:textId="705846B9" w:rsidR="00832834" w:rsidRPr="00021B22" w:rsidRDefault="00321275" w:rsidP="00832834">
      <w:pPr>
        <w:rPr>
          <w:i/>
          <w:sz w:val="18"/>
          <w:szCs w:val="18"/>
        </w:rPr>
      </w:pPr>
      <w:r w:rsidRPr="00021B22">
        <w:rPr>
          <w:i/>
          <w:sz w:val="18"/>
          <w:szCs w:val="18"/>
        </w:rPr>
        <w:t xml:space="preserve">Figure 7 </w:t>
      </w:r>
      <w:r w:rsidR="00832834" w:rsidRPr="00021B22">
        <w:rPr>
          <w:i/>
          <w:sz w:val="18"/>
          <w:szCs w:val="18"/>
        </w:rPr>
        <w:t>24hour vehicular deliveries and access from Dame Street: between South Great George</w:t>
      </w:r>
      <w:r w:rsidR="007016B0" w:rsidRPr="00021B22">
        <w:rPr>
          <w:i/>
          <w:sz w:val="18"/>
          <w:szCs w:val="18"/>
        </w:rPr>
        <w:t>’</w:t>
      </w:r>
      <w:r w:rsidR="00832834" w:rsidRPr="00021B22">
        <w:rPr>
          <w:i/>
          <w:sz w:val="18"/>
          <w:szCs w:val="18"/>
        </w:rPr>
        <w:t xml:space="preserve">s Street and </w:t>
      </w:r>
      <w:proofErr w:type="spellStart"/>
      <w:r w:rsidR="00832834" w:rsidRPr="00021B22">
        <w:rPr>
          <w:i/>
          <w:sz w:val="18"/>
          <w:szCs w:val="18"/>
        </w:rPr>
        <w:t>Anglesea</w:t>
      </w:r>
      <w:proofErr w:type="spellEnd"/>
      <w:r w:rsidR="00832834" w:rsidRPr="00021B22">
        <w:rPr>
          <w:i/>
          <w:sz w:val="18"/>
          <w:szCs w:val="18"/>
        </w:rPr>
        <w:t xml:space="preserve"> Street area (MCA Option 3). Traffic movement diagram – after 11.00am</w:t>
      </w:r>
    </w:p>
    <w:p w14:paraId="309D17DE" w14:textId="77777777" w:rsidR="00832834" w:rsidRPr="00021B22" w:rsidRDefault="00832834"/>
    <w:p w14:paraId="0E5ED6BC" w14:textId="77777777" w:rsidR="00DC4A9E" w:rsidRPr="00021B22" w:rsidRDefault="00DC4A9E" w:rsidP="00DC4A9E">
      <w:pPr>
        <w:keepNext/>
      </w:pPr>
      <w:r w:rsidRPr="00021B22">
        <w:rPr>
          <w:b/>
          <w:noProof/>
          <w:lang w:eastAsia="en-IE"/>
        </w:rPr>
        <w:drawing>
          <wp:inline distT="0" distB="0" distL="0" distR="0" wp14:anchorId="33A8703D" wp14:editId="6F2C21EF">
            <wp:extent cx="5221710" cy="3692106"/>
            <wp:effectExtent l="0" t="0" r="0" b="3810"/>
            <wp:docPr id="39938" name="Content Placehol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Content Placeholder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6756" cy="3702745"/>
                    </a:xfrm>
                    <a:prstGeom prst="rect">
                      <a:avLst/>
                    </a:prstGeom>
                    <a:noFill/>
                    <a:ln>
                      <a:noFill/>
                    </a:ln>
                    <a:extLst/>
                  </pic:spPr>
                </pic:pic>
              </a:graphicData>
            </a:graphic>
          </wp:inline>
        </w:drawing>
      </w:r>
    </w:p>
    <w:p w14:paraId="340CDFBF" w14:textId="0C7A95BA" w:rsidR="00DC4A9E" w:rsidRPr="00021B22" w:rsidRDefault="00DC4A9E" w:rsidP="00DC4A9E">
      <w:pPr>
        <w:pStyle w:val="Caption"/>
        <w:rPr>
          <w:b/>
          <w:color w:val="auto"/>
        </w:rPr>
      </w:pPr>
      <w:r w:rsidRPr="00021B22">
        <w:rPr>
          <w:color w:val="auto"/>
        </w:rPr>
        <w:t xml:space="preserve">Figure </w:t>
      </w:r>
      <w:r w:rsidR="00321275" w:rsidRPr="00021B22">
        <w:rPr>
          <w:color w:val="auto"/>
        </w:rPr>
        <w:t>8</w:t>
      </w:r>
      <w:r w:rsidRPr="00021B22">
        <w:rPr>
          <w:color w:val="auto"/>
        </w:rPr>
        <w:t xml:space="preserve"> 24hour vehicular deliveries and access from Dame Street: between South Great George</w:t>
      </w:r>
      <w:r w:rsidR="007016B0" w:rsidRPr="00021B22">
        <w:rPr>
          <w:color w:val="auto"/>
        </w:rPr>
        <w:t>’</w:t>
      </w:r>
      <w:r w:rsidRPr="00021B22">
        <w:rPr>
          <w:color w:val="auto"/>
        </w:rPr>
        <w:t xml:space="preserve">s Street and </w:t>
      </w:r>
      <w:proofErr w:type="spellStart"/>
      <w:r w:rsidRPr="00021B22">
        <w:rPr>
          <w:color w:val="auto"/>
        </w:rPr>
        <w:t>Anglesea</w:t>
      </w:r>
      <w:proofErr w:type="spellEnd"/>
      <w:r w:rsidRPr="00021B22">
        <w:rPr>
          <w:color w:val="auto"/>
        </w:rPr>
        <w:t xml:space="preserve"> Street area (MCA Option 3)</w:t>
      </w:r>
      <w:r w:rsidR="006E6DB1" w:rsidRPr="00021B22">
        <w:rPr>
          <w:color w:val="auto"/>
        </w:rPr>
        <w:t>. Concept illustration of space in use, looking east along Dame Street towards Trinity College</w:t>
      </w:r>
    </w:p>
    <w:p w14:paraId="673B7CAA" w14:textId="0B1EB4DB" w:rsidR="00DC4A9E" w:rsidRPr="00021B22" w:rsidRDefault="00DC4A9E">
      <w:pPr>
        <w:rPr>
          <w:b/>
        </w:rPr>
      </w:pPr>
      <w:r w:rsidRPr="00021B22">
        <w:rPr>
          <w:b/>
        </w:rPr>
        <w:br w:type="page"/>
      </w:r>
    </w:p>
    <w:p w14:paraId="1A7FAEB6" w14:textId="77777777" w:rsidR="00DC4A9E" w:rsidRPr="00021B22" w:rsidRDefault="00DC4A9E">
      <w:pPr>
        <w:rPr>
          <w:b/>
        </w:rPr>
      </w:pPr>
    </w:p>
    <w:p w14:paraId="7F6B3AC8" w14:textId="02433456" w:rsidR="00D1629B" w:rsidRPr="00021B22" w:rsidRDefault="008655B9">
      <w:pPr>
        <w:rPr>
          <w:b/>
        </w:rPr>
      </w:pPr>
      <w:r w:rsidRPr="00021B22">
        <w:rPr>
          <w:b/>
        </w:rPr>
        <w:t>Option 4:</w:t>
      </w:r>
    </w:p>
    <w:p w14:paraId="4FBB0E61" w14:textId="15A97332" w:rsidR="00D1629B" w:rsidRPr="00021B22" w:rsidRDefault="008655B9">
      <w:r w:rsidRPr="00021B22">
        <w:rPr>
          <w:noProof/>
          <w:lang w:eastAsia="en-IE"/>
        </w:rPr>
        <w:drawing>
          <wp:inline distT="0" distB="0" distL="0" distR="0" wp14:anchorId="65985E53" wp14:editId="39270E0F">
            <wp:extent cx="4546121" cy="3160716"/>
            <wp:effectExtent l="0" t="0" r="698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6493" cy="3181832"/>
                    </a:xfrm>
                    <a:prstGeom prst="rect">
                      <a:avLst/>
                    </a:prstGeom>
                  </pic:spPr>
                </pic:pic>
              </a:graphicData>
            </a:graphic>
          </wp:inline>
        </w:drawing>
      </w:r>
    </w:p>
    <w:p w14:paraId="52559AED" w14:textId="41D7D6A2" w:rsidR="00321275" w:rsidRPr="00021B22" w:rsidRDefault="00321275" w:rsidP="00321275">
      <w:pPr>
        <w:rPr>
          <w:i/>
          <w:sz w:val="18"/>
          <w:szCs w:val="18"/>
        </w:rPr>
      </w:pPr>
      <w:r w:rsidRPr="00021B22">
        <w:rPr>
          <w:i/>
          <w:sz w:val="18"/>
          <w:szCs w:val="18"/>
        </w:rPr>
        <w:t>Figure 9 Vehicular deliveries and access from Dame Street: between South Great George</w:t>
      </w:r>
      <w:r w:rsidR="007016B0" w:rsidRPr="00021B22">
        <w:rPr>
          <w:i/>
          <w:sz w:val="18"/>
          <w:szCs w:val="18"/>
        </w:rPr>
        <w:t>’</w:t>
      </w:r>
      <w:r w:rsidRPr="00021B22">
        <w:rPr>
          <w:i/>
          <w:sz w:val="18"/>
          <w:szCs w:val="18"/>
        </w:rPr>
        <w:t xml:space="preserve">s Street and </w:t>
      </w:r>
      <w:proofErr w:type="spellStart"/>
      <w:r w:rsidRPr="00021B22">
        <w:rPr>
          <w:i/>
          <w:sz w:val="18"/>
          <w:szCs w:val="18"/>
        </w:rPr>
        <w:t>Anglesea</w:t>
      </w:r>
      <w:proofErr w:type="spellEnd"/>
      <w:r w:rsidRPr="00021B22">
        <w:rPr>
          <w:i/>
          <w:sz w:val="18"/>
          <w:szCs w:val="18"/>
        </w:rPr>
        <w:t xml:space="preserve"> Street area from 6am to 11am, and traffic-free after 11am (MCA Option 4). Multi Criteria Analysis (MCA) diagram</w:t>
      </w:r>
    </w:p>
    <w:p w14:paraId="6EE14595" w14:textId="39254692" w:rsidR="00832834" w:rsidRPr="00021B22" w:rsidRDefault="00832834"/>
    <w:p w14:paraId="0458B821" w14:textId="0BD89565" w:rsidR="00832834" w:rsidRPr="00021B22" w:rsidRDefault="00832834">
      <w:r w:rsidRPr="00021B22">
        <w:rPr>
          <w:noProof/>
          <w:lang w:eastAsia="en-IE"/>
        </w:rPr>
        <w:drawing>
          <wp:inline distT="0" distB="0" distL="0" distR="0" wp14:anchorId="79E7708C" wp14:editId="48589277">
            <wp:extent cx="5731510" cy="2673212"/>
            <wp:effectExtent l="0" t="0" r="2540" b="0"/>
            <wp:docPr id="19" name="Picture 19" descr="Q:\PROJECTS\CA20003 College Green 2\12 Photos - Images\Traffic movement diagrams\College Green - updated traffic diagram slides-Opt4before11am-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PROJECTS\CA20003 College Green 2\12 Photos - Images\Traffic movement diagrams\College Green - updated traffic diagram slides-Opt4before11am-cro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673212"/>
                    </a:xfrm>
                    <a:prstGeom prst="rect">
                      <a:avLst/>
                    </a:prstGeom>
                    <a:noFill/>
                    <a:ln>
                      <a:noFill/>
                    </a:ln>
                  </pic:spPr>
                </pic:pic>
              </a:graphicData>
            </a:graphic>
          </wp:inline>
        </w:drawing>
      </w:r>
    </w:p>
    <w:p w14:paraId="1262F203" w14:textId="5A134168" w:rsidR="00832834" w:rsidRPr="00021B22" w:rsidRDefault="00321275">
      <w:r w:rsidRPr="00021B22">
        <w:rPr>
          <w:i/>
          <w:sz w:val="18"/>
          <w:szCs w:val="18"/>
        </w:rPr>
        <w:t xml:space="preserve">Figure 10 </w:t>
      </w:r>
      <w:r w:rsidR="00832834" w:rsidRPr="00021B22">
        <w:rPr>
          <w:i/>
          <w:sz w:val="18"/>
          <w:szCs w:val="18"/>
        </w:rPr>
        <w:t>Vehicular deliveries and access from Dame Street: between South Great George</w:t>
      </w:r>
      <w:r w:rsidR="007016B0" w:rsidRPr="00021B22">
        <w:rPr>
          <w:i/>
          <w:sz w:val="18"/>
          <w:szCs w:val="18"/>
        </w:rPr>
        <w:t>’</w:t>
      </w:r>
      <w:r w:rsidR="00832834" w:rsidRPr="00021B22">
        <w:rPr>
          <w:i/>
          <w:sz w:val="18"/>
          <w:szCs w:val="18"/>
        </w:rPr>
        <w:t xml:space="preserve">s Street and </w:t>
      </w:r>
      <w:proofErr w:type="spellStart"/>
      <w:r w:rsidR="00832834" w:rsidRPr="00021B22">
        <w:rPr>
          <w:i/>
          <w:sz w:val="18"/>
          <w:szCs w:val="18"/>
        </w:rPr>
        <w:t>Anglesea</w:t>
      </w:r>
      <w:proofErr w:type="spellEnd"/>
      <w:r w:rsidR="00832834" w:rsidRPr="00021B22">
        <w:rPr>
          <w:i/>
          <w:sz w:val="18"/>
          <w:szCs w:val="18"/>
        </w:rPr>
        <w:t xml:space="preserve"> Street area from 6am to 11am, and traffic-free after 11am (MCA Option 4). Traffic movement diagram showing situation up to 11.00am</w:t>
      </w:r>
    </w:p>
    <w:p w14:paraId="21B1E2A7" w14:textId="15127F25" w:rsidR="00832834" w:rsidRPr="00021B22" w:rsidRDefault="00832834">
      <w:r w:rsidRPr="00021B22">
        <w:rPr>
          <w:noProof/>
          <w:lang w:eastAsia="en-IE"/>
        </w:rPr>
        <w:lastRenderedPageBreak/>
        <w:drawing>
          <wp:inline distT="0" distB="0" distL="0" distR="0" wp14:anchorId="68736E46" wp14:editId="0CA79BD9">
            <wp:extent cx="5731510" cy="2682168"/>
            <wp:effectExtent l="0" t="0" r="2540" b="4445"/>
            <wp:docPr id="20" name="Picture 20" descr="Q:\PROJECTS\CA20003 College Green 2\12 Photos - Images\Traffic movement diagrams\College Green - updated traffic diagram slides-Opt4after11am-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PROJECTS\CA20003 College Green 2\12 Photos - Images\Traffic movement diagrams\College Green - updated traffic diagram slides-Opt4after11am-cro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682168"/>
                    </a:xfrm>
                    <a:prstGeom prst="rect">
                      <a:avLst/>
                    </a:prstGeom>
                    <a:noFill/>
                    <a:ln>
                      <a:noFill/>
                    </a:ln>
                  </pic:spPr>
                </pic:pic>
              </a:graphicData>
            </a:graphic>
          </wp:inline>
        </w:drawing>
      </w:r>
    </w:p>
    <w:p w14:paraId="01A46179" w14:textId="6E076C7B" w:rsidR="00832834" w:rsidRPr="00021B22" w:rsidRDefault="00321275">
      <w:r w:rsidRPr="00021B22">
        <w:rPr>
          <w:i/>
          <w:sz w:val="18"/>
          <w:szCs w:val="18"/>
        </w:rPr>
        <w:t>Figure 11 Vehicular deliveries and access from Dame Street: between South Great George</w:t>
      </w:r>
      <w:r w:rsidR="007016B0" w:rsidRPr="00021B22">
        <w:rPr>
          <w:i/>
          <w:sz w:val="18"/>
          <w:szCs w:val="18"/>
        </w:rPr>
        <w:t>’</w:t>
      </w:r>
      <w:r w:rsidRPr="00021B22">
        <w:rPr>
          <w:i/>
          <w:sz w:val="18"/>
          <w:szCs w:val="18"/>
        </w:rPr>
        <w:t xml:space="preserve">s Street and </w:t>
      </w:r>
      <w:proofErr w:type="spellStart"/>
      <w:r w:rsidRPr="00021B22">
        <w:rPr>
          <w:i/>
          <w:sz w:val="18"/>
          <w:szCs w:val="18"/>
        </w:rPr>
        <w:t>Anglesea</w:t>
      </w:r>
      <w:proofErr w:type="spellEnd"/>
      <w:r w:rsidRPr="00021B22">
        <w:rPr>
          <w:i/>
          <w:sz w:val="18"/>
          <w:szCs w:val="18"/>
        </w:rPr>
        <w:t xml:space="preserve"> Street area from 6am to 11am, and traffic-free after 11am (MCA Option 4). Traffic movement diagram showing situation after 11.00am</w:t>
      </w:r>
    </w:p>
    <w:p w14:paraId="40001C74" w14:textId="77777777" w:rsidR="00832834" w:rsidRPr="00021B22" w:rsidRDefault="00832834"/>
    <w:p w14:paraId="56AEF8A9" w14:textId="77777777" w:rsidR="00DC4A9E" w:rsidRPr="00021B22" w:rsidRDefault="00DC4A9E" w:rsidP="00DC4A9E">
      <w:pPr>
        <w:keepNext/>
      </w:pPr>
      <w:r w:rsidRPr="00021B22">
        <w:rPr>
          <w:noProof/>
          <w:lang w:eastAsia="en-IE"/>
        </w:rPr>
        <w:drawing>
          <wp:inline distT="0" distB="0" distL="0" distR="0" wp14:anchorId="7FCC9646" wp14:editId="2FE0E881">
            <wp:extent cx="5731510" cy="4051300"/>
            <wp:effectExtent l="0" t="0" r="2540" b="6350"/>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a:extLst/>
                  </pic:spPr>
                </pic:pic>
              </a:graphicData>
            </a:graphic>
          </wp:inline>
        </w:drawing>
      </w:r>
    </w:p>
    <w:p w14:paraId="562385AA" w14:textId="6A332DBD" w:rsidR="00D1629B" w:rsidRPr="00021B22" w:rsidRDefault="00DC4A9E" w:rsidP="00DC4A9E">
      <w:pPr>
        <w:pStyle w:val="Caption"/>
        <w:rPr>
          <w:color w:val="auto"/>
        </w:rPr>
      </w:pPr>
      <w:r w:rsidRPr="00021B22">
        <w:rPr>
          <w:color w:val="auto"/>
        </w:rPr>
        <w:t xml:space="preserve">Figure </w:t>
      </w:r>
      <w:r w:rsidR="00321275" w:rsidRPr="00021B22">
        <w:rPr>
          <w:color w:val="auto"/>
        </w:rPr>
        <w:t>12</w:t>
      </w:r>
      <w:r w:rsidRPr="00021B22">
        <w:rPr>
          <w:color w:val="auto"/>
        </w:rPr>
        <w:t xml:space="preserve"> Vehicular deliveries and access from Dame Street: between South Great George</w:t>
      </w:r>
      <w:r w:rsidR="007016B0" w:rsidRPr="00021B22">
        <w:rPr>
          <w:color w:val="auto"/>
        </w:rPr>
        <w:t>’</w:t>
      </w:r>
      <w:r w:rsidRPr="00021B22">
        <w:rPr>
          <w:color w:val="auto"/>
        </w:rPr>
        <w:t xml:space="preserve">s Street and </w:t>
      </w:r>
      <w:proofErr w:type="spellStart"/>
      <w:r w:rsidRPr="00021B22">
        <w:rPr>
          <w:color w:val="auto"/>
        </w:rPr>
        <w:t>Anglesea</w:t>
      </w:r>
      <w:proofErr w:type="spellEnd"/>
      <w:r w:rsidRPr="00021B22">
        <w:rPr>
          <w:color w:val="auto"/>
        </w:rPr>
        <w:t xml:space="preserve"> Street area from 6am to 11am, and traffic-free after 11am (MCA Option 4). Concept illustration of space in use, l</w:t>
      </w:r>
      <w:r w:rsidR="00A15588" w:rsidRPr="00021B22">
        <w:rPr>
          <w:color w:val="auto"/>
        </w:rPr>
        <w:t>ooking east along Dame Street</w:t>
      </w:r>
      <w:r w:rsidRPr="00021B22">
        <w:rPr>
          <w:color w:val="auto"/>
        </w:rPr>
        <w:t xml:space="preserve"> towards T</w:t>
      </w:r>
      <w:r w:rsidR="00A15588" w:rsidRPr="00021B22">
        <w:rPr>
          <w:color w:val="auto"/>
        </w:rPr>
        <w:t>rinity College</w:t>
      </w:r>
    </w:p>
    <w:p w14:paraId="2BCBB036" w14:textId="77777777" w:rsidR="00803BFB" w:rsidRPr="00021B22" w:rsidRDefault="00803BFB" w:rsidP="0009242A">
      <w:pPr>
        <w:rPr>
          <w:b/>
          <w:sz w:val="28"/>
          <w:szCs w:val="28"/>
        </w:rPr>
      </w:pPr>
    </w:p>
    <w:p w14:paraId="4033DF35" w14:textId="48D813D7" w:rsidR="0009242A" w:rsidRPr="00021B22" w:rsidRDefault="00DC4A9E" w:rsidP="0009242A">
      <w:pPr>
        <w:rPr>
          <w:b/>
          <w:sz w:val="28"/>
          <w:szCs w:val="28"/>
        </w:rPr>
      </w:pPr>
      <w:r w:rsidRPr="00021B22">
        <w:rPr>
          <w:b/>
          <w:sz w:val="28"/>
          <w:szCs w:val="28"/>
        </w:rPr>
        <w:br w:type="page"/>
      </w:r>
      <w:r w:rsidR="0009242A" w:rsidRPr="00021B22">
        <w:rPr>
          <w:b/>
          <w:sz w:val="28"/>
          <w:szCs w:val="28"/>
        </w:rPr>
        <w:lastRenderedPageBreak/>
        <w:t>Access a</w:t>
      </w:r>
      <w:r w:rsidR="008D7CB1" w:rsidRPr="00021B22">
        <w:rPr>
          <w:b/>
          <w:sz w:val="28"/>
          <w:szCs w:val="28"/>
        </w:rPr>
        <w:t>nd deliveries</w:t>
      </w:r>
    </w:p>
    <w:p w14:paraId="2106DB0F" w14:textId="658BAB1E" w:rsidR="00825655" w:rsidRPr="00021B22" w:rsidRDefault="006359D3" w:rsidP="0009242A">
      <w:r w:rsidRPr="00021B22">
        <w:t>L</w:t>
      </w:r>
      <w:r w:rsidR="0009242A" w:rsidRPr="00021B22">
        <w:t xml:space="preserve">ocal access and deliveries </w:t>
      </w:r>
      <w:r w:rsidR="0093645D" w:rsidRPr="00021B22">
        <w:t xml:space="preserve">for both Options 3 &amp; 4 </w:t>
      </w:r>
      <w:r w:rsidR="0009242A" w:rsidRPr="00021B22">
        <w:t xml:space="preserve">can still be provided </w:t>
      </w:r>
      <w:r w:rsidR="003C2F48" w:rsidRPr="00021B22">
        <w:t xml:space="preserve">to the </w:t>
      </w:r>
      <w:r w:rsidRPr="00021B22">
        <w:t>Outer Plaza areas</w:t>
      </w:r>
      <w:r w:rsidR="007016B0" w:rsidRPr="00021B22">
        <w:t xml:space="preserve"> from Trinity Street</w:t>
      </w:r>
      <w:r w:rsidR="0009242A" w:rsidRPr="00021B22">
        <w:t xml:space="preserve"> and </w:t>
      </w:r>
      <w:proofErr w:type="spellStart"/>
      <w:r w:rsidR="007016B0" w:rsidRPr="00021B22">
        <w:t>Anglesea</w:t>
      </w:r>
      <w:proofErr w:type="spellEnd"/>
      <w:r w:rsidR="007016B0" w:rsidRPr="00021B22">
        <w:t xml:space="preserve"> Street.</w:t>
      </w:r>
      <w:r w:rsidRPr="00021B22">
        <w:t xml:space="preserve"> </w:t>
      </w:r>
      <w:r w:rsidR="0009242A" w:rsidRPr="00021B22">
        <w:t xml:space="preserve">Deliveries </w:t>
      </w:r>
      <w:r w:rsidRPr="00021B22">
        <w:t>w</w:t>
      </w:r>
      <w:r w:rsidR="0009242A" w:rsidRPr="00021B22">
        <w:t>ould use a one way system to service the area with vehicular access retained within the Outer Plaza area only.</w:t>
      </w:r>
    </w:p>
    <w:p w14:paraId="1F0E8A05" w14:textId="77777777" w:rsidR="003C2F48" w:rsidRPr="00021B22" w:rsidRDefault="003C2F48" w:rsidP="0009242A">
      <w:r w:rsidRPr="00021B22">
        <w:t xml:space="preserve">Under </w:t>
      </w:r>
      <w:r w:rsidR="00825655" w:rsidRPr="00021B22">
        <w:t xml:space="preserve">Option 3 access </w:t>
      </w:r>
      <w:r w:rsidRPr="00021B22">
        <w:t>and</w:t>
      </w:r>
      <w:r w:rsidR="00825655" w:rsidRPr="00021B22">
        <w:t xml:space="preserve"> deliveries </w:t>
      </w:r>
      <w:r w:rsidRPr="00021B22">
        <w:t xml:space="preserve">would be provided </w:t>
      </w:r>
      <w:r w:rsidR="00825655" w:rsidRPr="00021B22">
        <w:t>on a</w:t>
      </w:r>
      <w:r w:rsidRPr="00021B22">
        <w:t xml:space="preserve"> 24 hour basis.</w:t>
      </w:r>
    </w:p>
    <w:p w14:paraId="0BD1A4CE" w14:textId="77777777" w:rsidR="0009242A" w:rsidRPr="00021B22" w:rsidRDefault="003C2F48" w:rsidP="0009242A">
      <w:r w:rsidRPr="00021B22">
        <w:t xml:space="preserve">Under </w:t>
      </w:r>
      <w:r w:rsidR="004367A0" w:rsidRPr="00021B22">
        <w:t>Option 4</w:t>
      </w:r>
      <w:r w:rsidR="00825655" w:rsidRPr="00021B22">
        <w:t xml:space="preserve"> access and deliveries </w:t>
      </w:r>
      <w:r w:rsidRPr="00021B22">
        <w:t xml:space="preserve">would be provided </w:t>
      </w:r>
      <w:r w:rsidR="00825655" w:rsidRPr="00021B22">
        <w:t>from 06:00 to 11:00</w:t>
      </w:r>
      <w:r w:rsidR="004367A0" w:rsidRPr="00021B22">
        <w:t xml:space="preserve"> only. </w:t>
      </w:r>
    </w:p>
    <w:p w14:paraId="04AC3527" w14:textId="77777777" w:rsidR="0009242A" w:rsidRPr="00021B22" w:rsidRDefault="0009242A" w:rsidP="0009242A">
      <w:r w:rsidRPr="00021B22">
        <w:t>In both options, a two way protected cycle route would be provided to run along the south side of the proposals.</w:t>
      </w:r>
    </w:p>
    <w:p w14:paraId="5D7FC320" w14:textId="77777777" w:rsidR="00717A3F" w:rsidRPr="00021B22" w:rsidRDefault="00717A3F" w:rsidP="0009242A"/>
    <w:p w14:paraId="096D980B" w14:textId="77777777" w:rsidR="00717A3F" w:rsidRPr="00021B22" w:rsidRDefault="00717A3F" w:rsidP="00717A3F">
      <w:pPr>
        <w:rPr>
          <w:b/>
          <w:sz w:val="28"/>
          <w:szCs w:val="28"/>
        </w:rPr>
      </w:pPr>
      <w:r w:rsidRPr="00021B22">
        <w:rPr>
          <w:b/>
          <w:sz w:val="28"/>
          <w:szCs w:val="28"/>
        </w:rPr>
        <w:t>Enhanced public realm opportunities</w:t>
      </w:r>
    </w:p>
    <w:p w14:paraId="4C6E834F" w14:textId="0056016F" w:rsidR="00717A3F" w:rsidRPr="00021B22" w:rsidRDefault="00717A3F" w:rsidP="00717A3F">
      <w:r w:rsidRPr="00021B22">
        <w:t>With buses and private vehicular traffic removed under both Options 3 &amp; 4 of the Multi Criteria A</w:t>
      </w:r>
      <w:r w:rsidR="00D85C9F" w:rsidRPr="00021B22">
        <w:t>ppraisal</w:t>
      </w:r>
      <w:r w:rsidRPr="00021B22">
        <w:t xml:space="preserve"> (MCA), there would be a completely pedestrianised space in the Core Plaza area</w:t>
      </w:r>
      <w:r w:rsidR="0093645D" w:rsidRPr="00021B22">
        <w:t xml:space="preserve"> at College Green</w:t>
      </w:r>
      <w:r w:rsidRPr="00021B22">
        <w:t xml:space="preserve"> stretching from Trinity College to </w:t>
      </w:r>
      <w:proofErr w:type="spellStart"/>
      <w:r w:rsidRPr="00021B22">
        <w:t>Anglesea</w:t>
      </w:r>
      <w:proofErr w:type="spellEnd"/>
      <w:r w:rsidRPr="00021B22">
        <w:t xml:space="preserve"> Street.</w:t>
      </w:r>
    </w:p>
    <w:p w14:paraId="46B05912" w14:textId="1CBFB04F" w:rsidR="006E54F7" w:rsidRPr="00021B22" w:rsidRDefault="00717A3F" w:rsidP="00717A3F">
      <w:r w:rsidRPr="00021B22">
        <w:t xml:space="preserve">Under </w:t>
      </w:r>
      <w:r w:rsidR="006E54F7" w:rsidRPr="00021B22">
        <w:t>both Options,</w:t>
      </w:r>
      <w:r w:rsidRPr="00021B22">
        <w:t xml:space="preserve"> there is an opportunity to enhance the </w:t>
      </w:r>
      <w:r w:rsidR="00D85C9F" w:rsidRPr="00021B22">
        <w:t>quality of the public realm</w:t>
      </w:r>
      <w:r w:rsidRPr="00021B22">
        <w:t xml:space="preserve"> further west </w:t>
      </w:r>
      <w:r w:rsidR="00385FF4" w:rsidRPr="00021B22">
        <w:t xml:space="preserve">in the Outer Plaza area </w:t>
      </w:r>
      <w:r w:rsidR="00147810" w:rsidRPr="00021B22">
        <w:t xml:space="preserve">from </w:t>
      </w:r>
      <w:proofErr w:type="spellStart"/>
      <w:r w:rsidR="00147810" w:rsidRPr="00021B22">
        <w:t>Anglesea</w:t>
      </w:r>
      <w:proofErr w:type="spellEnd"/>
      <w:r w:rsidR="00147810" w:rsidRPr="00021B22">
        <w:t xml:space="preserve"> Street</w:t>
      </w:r>
      <w:r w:rsidR="0093645D" w:rsidRPr="00021B22">
        <w:t xml:space="preserve"> </w:t>
      </w:r>
      <w:r w:rsidR="00A15588" w:rsidRPr="00021B22">
        <w:t>along</w:t>
      </w:r>
      <w:r w:rsidR="00147810" w:rsidRPr="00021B22">
        <w:t xml:space="preserve"> Dame Street</w:t>
      </w:r>
      <w:r w:rsidR="006E54F7" w:rsidRPr="00021B22">
        <w:t xml:space="preserve"> </w:t>
      </w:r>
      <w:r w:rsidRPr="00021B22">
        <w:t>as far as the juncti</w:t>
      </w:r>
      <w:r w:rsidR="00147810" w:rsidRPr="00021B22">
        <w:t>on with South Great George’s Street.</w:t>
      </w:r>
    </w:p>
    <w:p w14:paraId="7655EC8A" w14:textId="646781B0" w:rsidR="00717A3F" w:rsidRPr="00021B22" w:rsidRDefault="006E54F7" w:rsidP="00717A3F">
      <w:r w:rsidRPr="00021B22">
        <w:t xml:space="preserve">Under Option 3, </w:t>
      </w:r>
      <w:r w:rsidR="00D85C9F" w:rsidRPr="00021B22">
        <w:t xml:space="preserve">the quality of the public realm </w:t>
      </w:r>
      <w:r w:rsidRPr="00021B22">
        <w:t xml:space="preserve">can be enhanced </w:t>
      </w:r>
      <w:r w:rsidR="00717A3F" w:rsidRPr="00021B22">
        <w:t>by widening footpaths</w:t>
      </w:r>
      <w:r w:rsidR="00147810" w:rsidRPr="00021B22">
        <w:t xml:space="preserve"> along Dame Street</w:t>
      </w:r>
      <w:r w:rsidR="00717A3F" w:rsidRPr="00021B22">
        <w:t xml:space="preserve"> and by reducing vehicular traffic</w:t>
      </w:r>
      <w:r w:rsidR="006F2317" w:rsidRPr="00021B22">
        <w:t xml:space="preserve"> to l</w:t>
      </w:r>
      <w:r w:rsidR="00717A3F" w:rsidRPr="00021B22">
        <w:t xml:space="preserve">ocal access and deliveries </w:t>
      </w:r>
      <w:r w:rsidR="006F2317" w:rsidRPr="00021B22">
        <w:t>only</w:t>
      </w:r>
      <w:r w:rsidR="00A00F3C" w:rsidRPr="00021B22">
        <w:t>,</w:t>
      </w:r>
      <w:r w:rsidR="006F2317" w:rsidRPr="00021B22">
        <w:t xml:space="preserve"> on a 24 hour basis. </w:t>
      </w:r>
    </w:p>
    <w:p w14:paraId="596064A4" w14:textId="16D40853" w:rsidR="00717A3F" w:rsidRPr="00021B22" w:rsidRDefault="006F2317" w:rsidP="00717A3F">
      <w:r w:rsidRPr="00021B22">
        <w:t xml:space="preserve">Under </w:t>
      </w:r>
      <w:r w:rsidR="00717A3F" w:rsidRPr="00021B22">
        <w:t>Option 4</w:t>
      </w:r>
      <w:r w:rsidR="006E54F7" w:rsidRPr="00021B22">
        <w:t xml:space="preserve">, </w:t>
      </w:r>
      <w:r w:rsidR="00D85C9F" w:rsidRPr="00021B22">
        <w:t xml:space="preserve">the quality of the public realm </w:t>
      </w:r>
      <w:r w:rsidR="006E54F7" w:rsidRPr="00021B22">
        <w:t>can be enhanced</w:t>
      </w:r>
      <w:r w:rsidRPr="00021B22">
        <w:t xml:space="preserve"> by </w:t>
      </w:r>
      <w:r w:rsidR="00D85C9F" w:rsidRPr="00021B22">
        <w:t>making</w:t>
      </w:r>
      <w:r w:rsidRPr="00021B22">
        <w:t xml:space="preserve"> this space </w:t>
      </w:r>
      <w:r w:rsidR="00D85C9F" w:rsidRPr="00021B22">
        <w:t xml:space="preserve">traffic-free </w:t>
      </w:r>
      <w:r w:rsidR="00385FF4" w:rsidRPr="00021B22">
        <w:t>along Dame St</w:t>
      </w:r>
      <w:r w:rsidR="00147810" w:rsidRPr="00021B22">
        <w:t>reet</w:t>
      </w:r>
      <w:r w:rsidR="00385FF4" w:rsidRPr="00021B22">
        <w:t xml:space="preserve"> </w:t>
      </w:r>
      <w:r w:rsidR="00717A3F" w:rsidRPr="00021B22">
        <w:t xml:space="preserve">once </w:t>
      </w:r>
      <w:r w:rsidR="0093645D" w:rsidRPr="00021B22">
        <w:t xml:space="preserve">local </w:t>
      </w:r>
      <w:r w:rsidR="00717A3F" w:rsidRPr="00021B22">
        <w:t>access and deliveries are complete after 11am.</w:t>
      </w:r>
      <w:r w:rsidRPr="00021B22">
        <w:t xml:space="preserve"> </w:t>
      </w:r>
      <w:r w:rsidR="007016B0" w:rsidRPr="00021B22">
        <w:t xml:space="preserve">A similar arrangement is in place on Grafton Street and Henry Street. </w:t>
      </w:r>
      <w:r w:rsidRPr="00021B22">
        <w:t xml:space="preserve">This would result in a significantly extended </w:t>
      </w:r>
      <w:r w:rsidR="006E54F7" w:rsidRPr="00021B22">
        <w:t xml:space="preserve">civic </w:t>
      </w:r>
      <w:r w:rsidRPr="00021B22">
        <w:t xml:space="preserve">space </w:t>
      </w:r>
      <w:r w:rsidR="006E54F7" w:rsidRPr="00021B22">
        <w:t>for</w:t>
      </w:r>
      <w:r w:rsidRPr="00021B22">
        <w:t xml:space="preserve"> the city</w:t>
      </w:r>
      <w:r w:rsidR="00385FF4" w:rsidRPr="00021B22">
        <w:t xml:space="preserve">, stretching from </w:t>
      </w:r>
      <w:r w:rsidR="00A00F3C" w:rsidRPr="00021B22">
        <w:t>Trinity College</w:t>
      </w:r>
      <w:r w:rsidR="00385FF4" w:rsidRPr="00021B22">
        <w:t xml:space="preserve"> </w:t>
      </w:r>
      <w:r w:rsidR="00A00F3C" w:rsidRPr="00021B22">
        <w:t>along</w:t>
      </w:r>
      <w:r w:rsidR="00147810" w:rsidRPr="00021B22">
        <w:t xml:space="preserve"> Dame Street</w:t>
      </w:r>
      <w:r w:rsidR="00A15588" w:rsidRPr="00021B22">
        <w:t xml:space="preserve"> as far west as the junction</w:t>
      </w:r>
      <w:r w:rsidR="00147810" w:rsidRPr="00021B22">
        <w:t xml:space="preserve"> with South Great George’s Street.</w:t>
      </w:r>
    </w:p>
    <w:p w14:paraId="60B712F9" w14:textId="52C05C9C" w:rsidR="00FE41E6" w:rsidRPr="003C2F48" w:rsidRDefault="00FE41E6" w:rsidP="003C2F48">
      <w:pPr>
        <w:rPr>
          <w:color w:val="FF0000"/>
        </w:rPr>
      </w:pPr>
    </w:p>
    <w:sectPr w:rsidR="00FE41E6" w:rsidRPr="003C2F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ECOM Sans Light">
    <w:altName w:val="Arial"/>
    <w:charset w:val="00"/>
    <w:family w:val="swiss"/>
    <w:pitch w:val="variable"/>
    <w:sig w:usb0="E0002AFF" w:usb1="D000FFFB" w:usb2="0000002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A0E44"/>
    <w:multiLevelType w:val="hybridMultilevel"/>
    <w:tmpl w:val="16529DAE"/>
    <w:lvl w:ilvl="0" w:tplc="2500C18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82E34"/>
    <w:multiLevelType w:val="hybridMultilevel"/>
    <w:tmpl w:val="8A10050C"/>
    <w:lvl w:ilvl="0" w:tplc="E80244AA">
      <w:start w:val="1"/>
      <w:numFmt w:val="bullet"/>
      <w:lvlText w:val=""/>
      <w:lvlJc w:val="left"/>
      <w:pPr>
        <w:tabs>
          <w:tab w:val="num" w:pos="720"/>
        </w:tabs>
        <w:ind w:left="720" w:hanging="360"/>
      </w:pPr>
      <w:rPr>
        <w:rFonts w:ascii="Symbol" w:hAnsi="Symbol" w:hint="default"/>
      </w:rPr>
    </w:lvl>
    <w:lvl w:ilvl="1" w:tplc="C4160410">
      <w:start w:val="1"/>
      <w:numFmt w:val="bullet"/>
      <w:lvlText w:val=""/>
      <w:lvlJc w:val="left"/>
      <w:pPr>
        <w:tabs>
          <w:tab w:val="num" w:pos="1440"/>
        </w:tabs>
        <w:ind w:left="1440" w:hanging="360"/>
      </w:pPr>
      <w:rPr>
        <w:rFonts w:ascii="Symbol" w:hAnsi="Symbol" w:hint="default"/>
      </w:rPr>
    </w:lvl>
    <w:lvl w:ilvl="2" w:tplc="4B567C3C">
      <w:start w:val="1"/>
      <w:numFmt w:val="bullet"/>
      <w:lvlText w:val=""/>
      <w:lvlJc w:val="left"/>
      <w:pPr>
        <w:tabs>
          <w:tab w:val="num" w:pos="2160"/>
        </w:tabs>
        <w:ind w:left="2160" w:hanging="360"/>
      </w:pPr>
      <w:rPr>
        <w:rFonts w:ascii="Symbol" w:hAnsi="Symbol" w:hint="default"/>
      </w:rPr>
    </w:lvl>
    <w:lvl w:ilvl="3" w:tplc="709ECDBE">
      <w:start w:val="1"/>
      <w:numFmt w:val="bullet"/>
      <w:lvlText w:val=""/>
      <w:lvlJc w:val="left"/>
      <w:pPr>
        <w:tabs>
          <w:tab w:val="num" w:pos="2880"/>
        </w:tabs>
        <w:ind w:left="2880" w:hanging="360"/>
      </w:pPr>
      <w:rPr>
        <w:rFonts w:ascii="Symbol" w:hAnsi="Symbol" w:hint="default"/>
      </w:rPr>
    </w:lvl>
    <w:lvl w:ilvl="4" w:tplc="7E1C5EDE">
      <w:start w:val="1"/>
      <w:numFmt w:val="bullet"/>
      <w:lvlText w:val=""/>
      <w:lvlJc w:val="left"/>
      <w:pPr>
        <w:tabs>
          <w:tab w:val="num" w:pos="3600"/>
        </w:tabs>
        <w:ind w:left="3600" w:hanging="360"/>
      </w:pPr>
      <w:rPr>
        <w:rFonts w:ascii="Symbol" w:hAnsi="Symbol" w:hint="default"/>
      </w:rPr>
    </w:lvl>
    <w:lvl w:ilvl="5" w:tplc="F462D986">
      <w:start w:val="1"/>
      <w:numFmt w:val="bullet"/>
      <w:lvlText w:val=""/>
      <w:lvlJc w:val="left"/>
      <w:pPr>
        <w:tabs>
          <w:tab w:val="num" w:pos="4320"/>
        </w:tabs>
        <w:ind w:left="4320" w:hanging="360"/>
      </w:pPr>
      <w:rPr>
        <w:rFonts w:ascii="Symbol" w:hAnsi="Symbol" w:hint="default"/>
      </w:rPr>
    </w:lvl>
    <w:lvl w:ilvl="6" w:tplc="9F4EF62A">
      <w:start w:val="1"/>
      <w:numFmt w:val="bullet"/>
      <w:lvlText w:val=""/>
      <w:lvlJc w:val="left"/>
      <w:pPr>
        <w:tabs>
          <w:tab w:val="num" w:pos="5040"/>
        </w:tabs>
        <w:ind w:left="5040" w:hanging="360"/>
      </w:pPr>
      <w:rPr>
        <w:rFonts w:ascii="Symbol" w:hAnsi="Symbol" w:hint="default"/>
      </w:rPr>
    </w:lvl>
    <w:lvl w:ilvl="7" w:tplc="62F8190E">
      <w:start w:val="1"/>
      <w:numFmt w:val="bullet"/>
      <w:lvlText w:val=""/>
      <w:lvlJc w:val="left"/>
      <w:pPr>
        <w:tabs>
          <w:tab w:val="num" w:pos="5760"/>
        </w:tabs>
        <w:ind w:left="5760" w:hanging="360"/>
      </w:pPr>
      <w:rPr>
        <w:rFonts w:ascii="Symbol" w:hAnsi="Symbol" w:hint="default"/>
      </w:rPr>
    </w:lvl>
    <w:lvl w:ilvl="8" w:tplc="71BA791C">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E0950C3"/>
    <w:multiLevelType w:val="hybridMultilevel"/>
    <w:tmpl w:val="3426E1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6C06E42"/>
    <w:multiLevelType w:val="hybridMultilevel"/>
    <w:tmpl w:val="8F24E3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63E473E2"/>
    <w:multiLevelType w:val="hybridMultilevel"/>
    <w:tmpl w:val="596E302E"/>
    <w:lvl w:ilvl="0" w:tplc="AA62E8F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6BD35024"/>
    <w:multiLevelType w:val="hybridMultilevel"/>
    <w:tmpl w:val="8E249FB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1F9"/>
    <w:rsid w:val="00016427"/>
    <w:rsid w:val="00020E76"/>
    <w:rsid w:val="00021B22"/>
    <w:rsid w:val="00071CD9"/>
    <w:rsid w:val="0009242A"/>
    <w:rsid w:val="00094187"/>
    <w:rsid w:val="000D20C6"/>
    <w:rsid w:val="000E031E"/>
    <w:rsid w:val="00102B18"/>
    <w:rsid w:val="00147810"/>
    <w:rsid w:val="001530EC"/>
    <w:rsid w:val="00156699"/>
    <w:rsid w:val="00157840"/>
    <w:rsid w:val="0017158C"/>
    <w:rsid w:val="00183E46"/>
    <w:rsid w:val="001B6516"/>
    <w:rsid w:val="001C491A"/>
    <w:rsid w:val="001D2F9E"/>
    <w:rsid w:val="00236031"/>
    <w:rsid w:val="0024026F"/>
    <w:rsid w:val="0024205E"/>
    <w:rsid w:val="002434CF"/>
    <w:rsid w:val="002640E3"/>
    <w:rsid w:val="0027079C"/>
    <w:rsid w:val="002829A8"/>
    <w:rsid w:val="00290702"/>
    <w:rsid w:val="002A1D51"/>
    <w:rsid w:val="002B304D"/>
    <w:rsid w:val="002F2424"/>
    <w:rsid w:val="00317223"/>
    <w:rsid w:val="00321275"/>
    <w:rsid w:val="00350561"/>
    <w:rsid w:val="0036599A"/>
    <w:rsid w:val="003704FD"/>
    <w:rsid w:val="00385FF4"/>
    <w:rsid w:val="00386F02"/>
    <w:rsid w:val="003922D7"/>
    <w:rsid w:val="003936DA"/>
    <w:rsid w:val="003C2F48"/>
    <w:rsid w:val="003D51F9"/>
    <w:rsid w:val="003E00FF"/>
    <w:rsid w:val="0040752D"/>
    <w:rsid w:val="004367A0"/>
    <w:rsid w:val="00437361"/>
    <w:rsid w:val="00440EFE"/>
    <w:rsid w:val="00486D10"/>
    <w:rsid w:val="00491DC6"/>
    <w:rsid w:val="00494EE1"/>
    <w:rsid w:val="004B4262"/>
    <w:rsid w:val="004C7596"/>
    <w:rsid w:val="004C7D53"/>
    <w:rsid w:val="004D25D3"/>
    <w:rsid w:val="00576FF2"/>
    <w:rsid w:val="0059099F"/>
    <w:rsid w:val="00595F40"/>
    <w:rsid w:val="005C550C"/>
    <w:rsid w:val="005D1996"/>
    <w:rsid w:val="005E11EB"/>
    <w:rsid w:val="005F0B66"/>
    <w:rsid w:val="006024B6"/>
    <w:rsid w:val="00605AF9"/>
    <w:rsid w:val="006123F0"/>
    <w:rsid w:val="00614AD1"/>
    <w:rsid w:val="006359D3"/>
    <w:rsid w:val="0066764D"/>
    <w:rsid w:val="006A4CF2"/>
    <w:rsid w:val="006A6775"/>
    <w:rsid w:val="006A7BE5"/>
    <w:rsid w:val="006B48EC"/>
    <w:rsid w:val="006B57F9"/>
    <w:rsid w:val="006C6CA2"/>
    <w:rsid w:val="006D15EA"/>
    <w:rsid w:val="006E3A13"/>
    <w:rsid w:val="006E54F7"/>
    <w:rsid w:val="006E6DB1"/>
    <w:rsid w:val="006F2317"/>
    <w:rsid w:val="007016B0"/>
    <w:rsid w:val="00717A3F"/>
    <w:rsid w:val="00727A2A"/>
    <w:rsid w:val="00733157"/>
    <w:rsid w:val="0074049B"/>
    <w:rsid w:val="00752BDA"/>
    <w:rsid w:val="007B7A96"/>
    <w:rsid w:val="007D68ED"/>
    <w:rsid w:val="00802CDF"/>
    <w:rsid w:val="00803BFB"/>
    <w:rsid w:val="00825655"/>
    <w:rsid w:val="008270C5"/>
    <w:rsid w:val="00832834"/>
    <w:rsid w:val="008655B9"/>
    <w:rsid w:val="0087156E"/>
    <w:rsid w:val="008A25FD"/>
    <w:rsid w:val="008A3818"/>
    <w:rsid w:val="008C6F60"/>
    <w:rsid w:val="008D7CB1"/>
    <w:rsid w:val="009014F7"/>
    <w:rsid w:val="00902D52"/>
    <w:rsid w:val="00903FA3"/>
    <w:rsid w:val="0093645D"/>
    <w:rsid w:val="0095181C"/>
    <w:rsid w:val="009B1463"/>
    <w:rsid w:val="009E7AA4"/>
    <w:rsid w:val="00A00F3C"/>
    <w:rsid w:val="00A15588"/>
    <w:rsid w:val="00A35CC5"/>
    <w:rsid w:val="00A94CC5"/>
    <w:rsid w:val="00AA6F10"/>
    <w:rsid w:val="00AB60E7"/>
    <w:rsid w:val="00AD6566"/>
    <w:rsid w:val="00B00D54"/>
    <w:rsid w:val="00B135A3"/>
    <w:rsid w:val="00B33932"/>
    <w:rsid w:val="00B35BF7"/>
    <w:rsid w:val="00B44056"/>
    <w:rsid w:val="00B605AB"/>
    <w:rsid w:val="00BC3DFD"/>
    <w:rsid w:val="00BE5880"/>
    <w:rsid w:val="00C316F6"/>
    <w:rsid w:val="00CA4AFD"/>
    <w:rsid w:val="00CF5991"/>
    <w:rsid w:val="00D07502"/>
    <w:rsid w:val="00D1629B"/>
    <w:rsid w:val="00D22DD6"/>
    <w:rsid w:val="00D23D99"/>
    <w:rsid w:val="00D2573A"/>
    <w:rsid w:val="00D4245D"/>
    <w:rsid w:val="00D85C9F"/>
    <w:rsid w:val="00D873B5"/>
    <w:rsid w:val="00DC12E9"/>
    <w:rsid w:val="00DC4A9E"/>
    <w:rsid w:val="00DD3E62"/>
    <w:rsid w:val="00DF0917"/>
    <w:rsid w:val="00E00EB9"/>
    <w:rsid w:val="00E12126"/>
    <w:rsid w:val="00E2430B"/>
    <w:rsid w:val="00E37AC3"/>
    <w:rsid w:val="00E76388"/>
    <w:rsid w:val="00E93B03"/>
    <w:rsid w:val="00EB554B"/>
    <w:rsid w:val="00ED7D45"/>
    <w:rsid w:val="00F4493B"/>
    <w:rsid w:val="00F532D1"/>
    <w:rsid w:val="00F71030"/>
    <w:rsid w:val="00FA0AAA"/>
    <w:rsid w:val="00FD315F"/>
    <w:rsid w:val="00FE13ED"/>
    <w:rsid w:val="00FE2474"/>
    <w:rsid w:val="00FE41E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F748E"/>
  <w15:chartTrackingRefBased/>
  <w15:docId w15:val="{EC22619A-38A8-44A2-AFF8-7603C9BAA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A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A2A"/>
    <w:rPr>
      <w:rFonts w:ascii="Segoe UI" w:hAnsi="Segoe UI" w:cs="Segoe UI"/>
      <w:sz w:val="18"/>
      <w:szCs w:val="18"/>
    </w:rPr>
  </w:style>
  <w:style w:type="paragraph" w:styleId="ListParagraph">
    <w:name w:val="List Paragraph"/>
    <w:basedOn w:val="Normal"/>
    <w:uiPriority w:val="34"/>
    <w:qFormat/>
    <w:rsid w:val="00727A2A"/>
    <w:pPr>
      <w:ind w:left="720"/>
      <w:contextualSpacing/>
    </w:pPr>
  </w:style>
  <w:style w:type="character" w:styleId="CommentReference">
    <w:name w:val="annotation reference"/>
    <w:basedOn w:val="DefaultParagraphFont"/>
    <w:uiPriority w:val="99"/>
    <w:semiHidden/>
    <w:unhideWhenUsed/>
    <w:rsid w:val="008A3818"/>
    <w:rPr>
      <w:sz w:val="16"/>
      <w:szCs w:val="16"/>
    </w:rPr>
  </w:style>
  <w:style w:type="paragraph" w:styleId="CommentText">
    <w:name w:val="annotation text"/>
    <w:basedOn w:val="Normal"/>
    <w:link w:val="CommentTextChar"/>
    <w:uiPriority w:val="99"/>
    <w:semiHidden/>
    <w:unhideWhenUsed/>
    <w:rsid w:val="008A3818"/>
    <w:pPr>
      <w:spacing w:line="240" w:lineRule="auto"/>
    </w:pPr>
    <w:rPr>
      <w:sz w:val="20"/>
      <w:szCs w:val="20"/>
    </w:rPr>
  </w:style>
  <w:style w:type="character" w:customStyle="1" w:styleId="CommentTextChar">
    <w:name w:val="Comment Text Char"/>
    <w:basedOn w:val="DefaultParagraphFont"/>
    <w:link w:val="CommentText"/>
    <w:uiPriority w:val="99"/>
    <w:semiHidden/>
    <w:rsid w:val="008A3818"/>
    <w:rPr>
      <w:sz w:val="20"/>
      <w:szCs w:val="20"/>
    </w:rPr>
  </w:style>
  <w:style w:type="paragraph" w:styleId="CommentSubject">
    <w:name w:val="annotation subject"/>
    <w:basedOn w:val="CommentText"/>
    <w:next w:val="CommentText"/>
    <w:link w:val="CommentSubjectChar"/>
    <w:uiPriority w:val="99"/>
    <w:semiHidden/>
    <w:unhideWhenUsed/>
    <w:rsid w:val="008A3818"/>
    <w:rPr>
      <w:b/>
      <w:bCs/>
    </w:rPr>
  </w:style>
  <w:style w:type="character" w:customStyle="1" w:styleId="CommentSubjectChar">
    <w:name w:val="Comment Subject Char"/>
    <w:basedOn w:val="CommentTextChar"/>
    <w:link w:val="CommentSubject"/>
    <w:uiPriority w:val="99"/>
    <w:semiHidden/>
    <w:rsid w:val="008A3818"/>
    <w:rPr>
      <w:b/>
      <w:bCs/>
      <w:sz w:val="20"/>
      <w:szCs w:val="20"/>
    </w:rPr>
  </w:style>
  <w:style w:type="character" w:styleId="Hyperlink">
    <w:name w:val="Hyperlink"/>
    <w:basedOn w:val="DefaultParagraphFont"/>
    <w:uiPriority w:val="99"/>
    <w:semiHidden/>
    <w:unhideWhenUsed/>
    <w:rsid w:val="00B33932"/>
    <w:rPr>
      <w:color w:val="0000FF"/>
      <w:u w:val="single"/>
    </w:rPr>
  </w:style>
  <w:style w:type="paragraph" w:styleId="Caption">
    <w:name w:val="caption"/>
    <w:basedOn w:val="Normal"/>
    <w:next w:val="Normal"/>
    <w:uiPriority w:val="35"/>
    <w:unhideWhenUsed/>
    <w:qFormat/>
    <w:rsid w:val="00B3393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92394">
      <w:bodyDiv w:val="1"/>
      <w:marLeft w:val="0"/>
      <w:marRight w:val="0"/>
      <w:marTop w:val="0"/>
      <w:marBottom w:val="0"/>
      <w:divBdr>
        <w:top w:val="none" w:sz="0" w:space="0" w:color="auto"/>
        <w:left w:val="none" w:sz="0" w:space="0" w:color="auto"/>
        <w:bottom w:val="none" w:sz="0" w:space="0" w:color="auto"/>
        <w:right w:val="none" w:sz="0" w:space="0" w:color="auto"/>
      </w:divBdr>
    </w:div>
    <w:div w:id="425730436">
      <w:bodyDiv w:val="1"/>
      <w:marLeft w:val="0"/>
      <w:marRight w:val="0"/>
      <w:marTop w:val="0"/>
      <w:marBottom w:val="0"/>
      <w:divBdr>
        <w:top w:val="none" w:sz="0" w:space="0" w:color="auto"/>
        <w:left w:val="none" w:sz="0" w:space="0" w:color="auto"/>
        <w:bottom w:val="none" w:sz="0" w:space="0" w:color="auto"/>
        <w:right w:val="none" w:sz="0" w:space="0" w:color="auto"/>
      </w:divBdr>
    </w:div>
    <w:div w:id="546069040">
      <w:bodyDiv w:val="1"/>
      <w:marLeft w:val="0"/>
      <w:marRight w:val="0"/>
      <w:marTop w:val="0"/>
      <w:marBottom w:val="0"/>
      <w:divBdr>
        <w:top w:val="none" w:sz="0" w:space="0" w:color="auto"/>
        <w:left w:val="none" w:sz="0" w:space="0" w:color="auto"/>
        <w:bottom w:val="none" w:sz="0" w:space="0" w:color="auto"/>
        <w:right w:val="none" w:sz="0" w:space="0" w:color="auto"/>
      </w:divBdr>
    </w:div>
    <w:div w:id="552010859">
      <w:bodyDiv w:val="1"/>
      <w:marLeft w:val="0"/>
      <w:marRight w:val="0"/>
      <w:marTop w:val="0"/>
      <w:marBottom w:val="0"/>
      <w:divBdr>
        <w:top w:val="none" w:sz="0" w:space="0" w:color="auto"/>
        <w:left w:val="none" w:sz="0" w:space="0" w:color="auto"/>
        <w:bottom w:val="none" w:sz="0" w:space="0" w:color="auto"/>
        <w:right w:val="none" w:sz="0" w:space="0" w:color="auto"/>
      </w:divBdr>
    </w:div>
    <w:div w:id="777798677">
      <w:bodyDiv w:val="1"/>
      <w:marLeft w:val="0"/>
      <w:marRight w:val="0"/>
      <w:marTop w:val="0"/>
      <w:marBottom w:val="0"/>
      <w:divBdr>
        <w:top w:val="none" w:sz="0" w:space="0" w:color="auto"/>
        <w:left w:val="none" w:sz="0" w:space="0" w:color="auto"/>
        <w:bottom w:val="none" w:sz="0" w:space="0" w:color="auto"/>
        <w:right w:val="none" w:sz="0" w:space="0" w:color="auto"/>
      </w:divBdr>
    </w:div>
    <w:div w:id="858855248">
      <w:bodyDiv w:val="1"/>
      <w:marLeft w:val="0"/>
      <w:marRight w:val="0"/>
      <w:marTop w:val="0"/>
      <w:marBottom w:val="0"/>
      <w:divBdr>
        <w:top w:val="none" w:sz="0" w:space="0" w:color="auto"/>
        <w:left w:val="none" w:sz="0" w:space="0" w:color="auto"/>
        <w:bottom w:val="none" w:sz="0" w:space="0" w:color="auto"/>
        <w:right w:val="none" w:sz="0" w:space="0" w:color="auto"/>
      </w:divBdr>
    </w:div>
    <w:div w:id="1478766605">
      <w:bodyDiv w:val="1"/>
      <w:marLeft w:val="0"/>
      <w:marRight w:val="0"/>
      <w:marTop w:val="0"/>
      <w:marBottom w:val="0"/>
      <w:divBdr>
        <w:top w:val="none" w:sz="0" w:space="0" w:color="auto"/>
        <w:left w:val="none" w:sz="0" w:space="0" w:color="auto"/>
        <w:bottom w:val="none" w:sz="0" w:space="0" w:color="auto"/>
        <w:right w:val="none" w:sz="0" w:space="0" w:color="auto"/>
      </w:divBdr>
    </w:div>
    <w:div w:id="158336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B7930-4281-4F1D-B264-3E307B20E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12</Pages>
  <Words>1910</Words>
  <Characters>10888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O'Brien</dc:creator>
  <cp:keywords/>
  <dc:description/>
  <cp:lastModifiedBy>Brendan O'Brien</cp:lastModifiedBy>
  <cp:revision>9</cp:revision>
  <cp:lastPrinted>2020-10-07T14:20:00Z</cp:lastPrinted>
  <dcterms:created xsi:type="dcterms:W3CDTF">2020-11-04T13:10:00Z</dcterms:created>
  <dcterms:modified xsi:type="dcterms:W3CDTF">2020-11-04T18:16:00Z</dcterms:modified>
</cp:coreProperties>
</file>