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93AD" w14:textId="02221B1B" w:rsidR="00461BF1" w:rsidRPr="00C71FD2" w:rsidRDefault="00146D43" w:rsidP="00C71FD2">
      <w:pPr>
        <w:pStyle w:val="ListBullet2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Milltown Road</w:t>
      </w:r>
      <w:r w:rsidR="005C5810">
        <w:rPr>
          <w:b/>
          <w:sz w:val="24"/>
          <w:szCs w:val="24"/>
        </w:rPr>
        <w:t xml:space="preserve">- Dodder Walk to Dundrum Road </w:t>
      </w:r>
      <w:r>
        <w:rPr>
          <w:b/>
          <w:sz w:val="24"/>
          <w:szCs w:val="24"/>
        </w:rPr>
        <w:t xml:space="preserve"> </w:t>
      </w:r>
      <w:r w:rsidR="004242DA">
        <w:rPr>
          <w:b/>
          <w:sz w:val="24"/>
          <w:szCs w:val="24"/>
        </w:rPr>
        <w:t>Frequently Asked Questions</w:t>
      </w:r>
    </w:p>
    <w:p w14:paraId="630F7071" w14:textId="05BA8E29" w:rsidR="000504A8" w:rsidRDefault="000504A8" w:rsidP="000F280F">
      <w:pPr>
        <w:pStyle w:val="ListBullet"/>
        <w:numPr>
          <w:ilvl w:val="0"/>
          <w:numId w:val="0"/>
        </w:numPr>
        <w:jc w:val="both"/>
        <w:rPr>
          <w:b/>
          <w:bCs/>
        </w:rPr>
      </w:pPr>
    </w:p>
    <w:p w14:paraId="7985A091" w14:textId="166DC201" w:rsidR="0080342A" w:rsidRDefault="0080342A" w:rsidP="006B5BEE">
      <w:pPr>
        <w:pStyle w:val="ListBullet"/>
        <w:numPr>
          <w:ilvl w:val="0"/>
          <w:numId w:val="0"/>
        </w:numPr>
        <w:jc w:val="both"/>
        <w:rPr>
          <w:bCs/>
        </w:rPr>
      </w:pPr>
    </w:p>
    <w:p w14:paraId="472FF709" w14:textId="7E7B7D76" w:rsidR="0048316B" w:rsidRPr="00146D43" w:rsidRDefault="0048316B" w:rsidP="0048316B">
      <w:pPr>
        <w:pStyle w:val="ListBullet"/>
        <w:numPr>
          <w:ilvl w:val="0"/>
          <w:numId w:val="0"/>
        </w:numPr>
        <w:jc w:val="both"/>
        <w:rPr>
          <w:b/>
          <w:bCs/>
          <w:color w:val="FF0000"/>
        </w:rPr>
      </w:pPr>
      <w:r w:rsidRPr="008972F3">
        <w:rPr>
          <w:b/>
          <w:bCs/>
        </w:rPr>
        <w:t>Why was this route chosen?</w:t>
      </w:r>
    </w:p>
    <w:p w14:paraId="06DC3EEF" w14:textId="044E0608" w:rsidR="005C5810" w:rsidRPr="006A285E" w:rsidRDefault="005C5810" w:rsidP="005C5810">
      <w:p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Milltown Road-</w:t>
      </w:r>
      <w:r w:rsidRPr="006A285E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Dodder Walk to Dundrum Road has been identified as a suitable location for rapid build walking and cycling facilities. It will facilitate a continuous route along the Dodder corridor in advance of the Dodder Greenway project.</w:t>
      </w:r>
    </w:p>
    <w:p w14:paraId="1624E917" w14:textId="404A2205" w:rsidR="0048316B" w:rsidRPr="008972F3" w:rsidRDefault="0048316B" w:rsidP="0048316B">
      <w:pPr>
        <w:pStyle w:val="ListBullet"/>
        <w:numPr>
          <w:ilvl w:val="0"/>
          <w:numId w:val="0"/>
        </w:numPr>
        <w:jc w:val="both"/>
        <w:rPr>
          <w:rFonts w:cstheme="minorHAnsi"/>
        </w:rPr>
      </w:pPr>
      <w:r w:rsidRPr="008972F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The Dodder Greenway was identified as a primary route in the NTA Greater Dublin Area (GDA) Cycle Network Plan 2013, and subsequently in the draft GDA Cycle Network Plan within the draft GDA Transport Strategy 2022 – 2042.  </w:t>
      </w:r>
      <w:r w:rsidRPr="008972F3">
        <w:rPr>
          <w:rFonts w:cstheme="minorHAnsi"/>
        </w:rPr>
        <w:t>A Public Consultation on the</w:t>
      </w:r>
      <w:r w:rsidRPr="008972F3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GDA Transport Strategy 2022 – 2042 was held on the </w:t>
      </w:r>
      <w:r w:rsidRPr="008972F3">
        <w:rPr>
          <w:rFonts w:cstheme="minorHAnsi"/>
        </w:rPr>
        <w:t>23rd November 2020 to 22nd January 2021.</w:t>
      </w:r>
    </w:p>
    <w:p w14:paraId="760DAE15" w14:textId="77777777" w:rsidR="007C49C6" w:rsidRPr="00003DB8" w:rsidRDefault="007C49C6" w:rsidP="007C49C6">
      <w:pPr>
        <w:rPr>
          <w:b/>
        </w:rPr>
      </w:pPr>
      <w:r>
        <w:rPr>
          <w:b/>
        </w:rPr>
        <w:t xml:space="preserve">What is the </w:t>
      </w:r>
      <w:r w:rsidRPr="00003DB8">
        <w:rPr>
          <w:b/>
        </w:rPr>
        <w:t>Public Consultation Process</w:t>
      </w:r>
      <w:r>
        <w:rPr>
          <w:b/>
        </w:rPr>
        <w:t xml:space="preserve"> for the scheme</w:t>
      </w:r>
      <w:r w:rsidRPr="00003DB8">
        <w:rPr>
          <w:b/>
        </w:rPr>
        <w:t>?</w:t>
      </w:r>
    </w:p>
    <w:p w14:paraId="560220E7" w14:textId="1E7BC84D" w:rsidR="008466C1" w:rsidRDefault="001D603F" w:rsidP="001D603F">
      <w:pPr>
        <w:pStyle w:val="ListBullet"/>
        <w:numPr>
          <w:ilvl w:val="0"/>
          <w:numId w:val="0"/>
        </w:numPr>
        <w:jc w:val="both"/>
      </w:pPr>
      <w:r>
        <w:t xml:space="preserve">A non-statutory public consultation process will be carried out for the scheme. </w:t>
      </w:r>
      <w:r w:rsidR="008466C1">
        <w:t xml:space="preserve">The proposals can be viewed and submissions can be made </w:t>
      </w:r>
      <w:r w:rsidR="00742C8F">
        <w:t>on the Dublin City Council’</w:t>
      </w:r>
      <w:r w:rsidR="00CB6946">
        <w:t xml:space="preserve">s </w:t>
      </w:r>
      <w:r w:rsidR="00742C8F">
        <w:t xml:space="preserve">website </w:t>
      </w:r>
      <w:hyperlink r:id="rId6" w:history="1">
        <w:r w:rsidR="00742C8F">
          <w:rPr>
            <w:rStyle w:val="Hyperlink"/>
          </w:rPr>
          <w:t>http://consultation.dublincity.ie/</w:t>
        </w:r>
      </w:hyperlink>
    </w:p>
    <w:p w14:paraId="221C9EB4" w14:textId="4C496C3E" w:rsidR="001D603F" w:rsidRDefault="001D603F" w:rsidP="001D603F">
      <w:pPr>
        <w:pStyle w:val="ListBullet"/>
        <w:numPr>
          <w:ilvl w:val="0"/>
          <w:numId w:val="0"/>
        </w:numPr>
        <w:jc w:val="both"/>
      </w:pPr>
      <w:r>
        <w:t>The scheme drawings will be available to view</w:t>
      </w:r>
      <w:r w:rsidRPr="00BA3E8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8972F3">
        <w:t xml:space="preserve">from </w:t>
      </w:r>
      <w:r w:rsidR="00FE4F3F" w:rsidRPr="008972F3">
        <w:t xml:space="preserve">Thursday </w:t>
      </w:r>
      <w:r w:rsidR="005C5810">
        <w:t>February</w:t>
      </w:r>
      <w:r w:rsidR="00FE4F3F" w:rsidRPr="008972F3">
        <w:t xml:space="preserve"> </w:t>
      </w:r>
      <w:r w:rsidR="005C5810">
        <w:t>8th</w:t>
      </w:r>
      <w:r w:rsidR="005C5810" w:rsidRPr="008972F3">
        <w:t xml:space="preserve">  </w:t>
      </w:r>
      <w:r w:rsidR="00335EAD" w:rsidRPr="008972F3">
        <w:t xml:space="preserve">– Friday </w:t>
      </w:r>
      <w:r w:rsidR="005C5810">
        <w:t>March 15t</w:t>
      </w:r>
      <w:r w:rsidR="005C5810" w:rsidRPr="008972F3">
        <w:t xml:space="preserve">h </w:t>
      </w:r>
      <w:r w:rsidRPr="008972F3">
        <w:t>at:</w:t>
      </w:r>
    </w:p>
    <w:p w14:paraId="1D18AA87" w14:textId="6D47B0F6" w:rsidR="007C49C6" w:rsidRDefault="007C49C6" w:rsidP="007C49C6">
      <w:pPr>
        <w:pStyle w:val="ListBullet"/>
        <w:numPr>
          <w:ilvl w:val="0"/>
          <w:numId w:val="7"/>
        </w:numPr>
        <w:jc w:val="both"/>
      </w:pPr>
      <w:r>
        <w:t>Dublin City Council, Block 1, Floor 0, Civic Offices, Wood Quay, Dubli</w:t>
      </w:r>
      <w:r w:rsidR="0006754D">
        <w:t>n</w:t>
      </w:r>
      <w:r>
        <w:t xml:space="preserve"> 8, D08RF3F</w:t>
      </w:r>
    </w:p>
    <w:p w14:paraId="6790ED8A" w14:textId="77777777" w:rsidR="00146D43" w:rsidRDefault="00146D43" w:rsidP="007C49C6">
      <w:pPr>
        <w:pStyle w:val="ListBullet"/>
        <w:numPr>
          <w:ilvl w:val="0"/>
          <w:numId w:val="7"/>
        </w:numPr>
        <w:jc w:val="both"/>
      </w:pPr>
      <w:proofErr w:type="spellStart"/>
      <w:r w:rsidRPr="00146D43">
        <w:t>Rathmines</w:t>
      </w:r>
      <w:proofErr w:type="spellEnd"/>
      <w:r w:rsidRPr="00146D43">
        <w:t xml:space="preserve"> Library, 157 Lower </w:t>
      </w:r>
      <w:proofErr w:type="spellStart"/>
      <w:r w:rsidRPr="00146D43">
        <w:t>Rathmines</w:t>
      </w:r>
      <w:proofErr w:type="spellEnd"/>
      <w:r w:rsidRPr="00146D43">
        <w:t xml:space="preserve"> Road, Dublin 6, D06 K2K6 </w:t>
      </w:r>
    </w:p>
    <w:p w14:paraId="60B5715C" w14:textId="58C155B6" w:rsidR="00003DB8" w:rsidRPr="008972F3" w:rsidRDefault="008972F3" w:rsidP="007C49C6">
      <w:pPr>
        <w:pStyle w:val="ListBullet"/>
        <w:numPr>
          <w:ilvl w:val="0"/>
          <w:numId w:val="7"/>
        </w:numPr>
        <w:jc w:val="both"/>
        <w:rPr>
          <w:rStyle w:val="Hyperlink"/>
          <w:color w:val="auto"/>
          <w:u w:val="none"/>
        </w:rPr>
      </w:pPr>
      <w:hyperlink r:id="rId7" w:history="1">
        <w:r w:rsidR="009B65EF" w:rsidRPr="00562CE9">
          <w:rPr>
            <w:rStyle w:val="Hyperlink"/>
          </w:rPr>
          <w:t>www.dublincity.ie/activetravel</w:t>
        </w:r>
      </w:hyperlink>
    </w:p>
    <w:p w14:paraId="372EAA08" w14:textId="721E637E" w:rsidR="0037607F" w:rsidRPr="008972F3" w:rsidRDefault="00CB6946">
      <w:pPr>
        <w:pStyle w:val="ListBullet"/>
        <w:jc w:val="both"/>
        <w:rPr>
          <w:bCs/>
        </w:rPr>
      </w:pPr>
      <w:r w:rsidRPr="008972F3">
        <w:rPr>
          <w:bCs/>
        </w:rPr>
        <w:t xml:space="preserve">An information event on the project will be held from 4-7pm on the </w:t>
      </w:r>
      <w:r w:rsidR="00146D43" w:rsidRPr="008972F3">
        <w:rPr>
          <w:bCs/>
        </w:rPr>
        <w:t>22</w:t>
      </w:r>
      <w:r w:rsidR="00146D43" w:rsidRPr="008972F3">
        <w:rPr>
          <w:bCs/>
          <w:vertAlign w:val="superscript"/>
        </w:rPr>
        <w:t>nd</w:t>
      </w:r>
      <w:r w:rsidR="00146D43" w:rsidRPr="008972F3">
        <w:rPr>
          <w:bCs/>
        </w:rPr>
        <w:t xml:space="preserve"> of</w:t>
      </w:r>
      <w:r w:rsidRPr="008972F3">
        <w:rPr>
          <w:bCs/>
        </w:rPr>
        <w:t xml:space="preserve"> </w:t>
      </w:r>
      <w:r w:rsidR="00146D43" w:rsidRPr="008972F3">
        <w:rPr>
          <w:bCs/>
        </w:rPr>
        <w:t>February</w:t>
      </w:r>
      <w:r w:rsidRPr="008972F3">
        <w:rPr>
          <w:bCs/>
        </w:rPr>
        <w:t xml:space="preserve"> 2023 </w:t>
      </w:r>
      <w:proofErr w:type="gramStart"/>
      <w:r w:rsidRPr="008972F3">
        <w:rPr>
          <w:bCs/>
        </w:rPr>
        <w:t xml:space="preserve">in </w:t>
      </w:r>
      <w:r w:rsidR="0037607F" w:rsidRPr="0037607F">
        <w:rPr>
          <w:rFonts w:ascii="Calibri" w:hAnsi="Calibri" w:cs="Times New Roman"/>
        </w:rPr>
        <w:t xml:space="preserve"> </w:t>
      </w:r>
      <w:r w:rsidR="0037607F" w:rsidRPr="008972F3">
        <w:rPr>
          <w:bCs/>
        </w:rPr>
        <w:t>Milltown</w:t>
      </w:r>
      <w:proofErr w:type="gramEnd"/>
      <w:r w:rsidR="0037607F" w:rsidRPr="008972F3">
        <w:rPr>
          <w:bCs/>
        </w:rPr>
        <w:t xml:space="preserve"> Parish Pastoral Centre, Milltown Road, Milltown, Dublin 6, D06 Y7T3. </w:t>
      </w:r>
    </w:p>
    <w:p w14:paraId="35A77A7D" w14:textId="77777777" w:rsidR="00742C8F" w:rsidRPr="006331BE" w:rsidRDefault="00742C8F" w:rsidP="008972F3">
      <w:pPr>
        <w:pStyle w:val="ListBullet"/>
        <w:numPr>
          <w:ilvl w:val="0"/>
          <w:numId w:val="0"/>
        </w:numPr>
        <w:jc w:val="both"/>
        <w:rPr>
          <w:bCs/>
        </w:rPr>
      </w:pPr>
    </w:p>
    <w:p w14:paraId="51ED5C67" w14:textId="12DBD0E3" w:rsidR="009B65EF" w:rsidRDefault="000F238A">
      <w:pPr>
        <w:pStyle w:val="ListBullet"/>
        <w:numPr>
          <w:ilvl w:val="0"/>
          <w:numId w:val="0"/>
        </w:numPr>
        <w:jc w:val="both"/>
        <w:rPr>
          <w:b/>
          <w:bCs/>
        </w:rPr>
      </w:pPr>
      <w:r w:rsidRPr="000F238A">
        <w:rPr>
          <w:bCs/>
        </w:rPr>
        <w:t>The design may be review</w:t>
      </w:r>
      <w:r w:rsidR="0024691D">
        <w:rPr>
          <w:bCs/>
        </w:rPr>
        <w:t>ed</w:t>
      </w:r>
      <w:r w:rsidRPr="000F238A">
        <w:rPr>
          <w:bCs/>
        </w:rPr>
        <w:t xml:space="preserve"> based on the feedback received </w:t>
      </w:r>
      <w:r>
        <w:rPr>
          <w:bCs/>
        </w:rPr>
        <w:t xml:space="preserve">during the Consultation Period. </w:t>
      </w:r>
      <w:r w:rsidR="00742C8F">
        <w:rPr>
          <w:bCs/>
        </w:rPr>
        <w:t xml:space="preserve">A  Public Consultation Report </w:t>
      </w:r>
      <w:r w:rsidR="00CB6946">
        <w:rPr>
          <w:bCs/>
        </w:rPr>
        <w:t xml:space="preserve">summarising the consultation results </w:t>
      </w:r>
      <w:r w:rsidR="00742C8F">
        <w:rPr>
          <w:bCs/>
        </w:rPr>
        <w:t xml:space="preserve">will </w:t>
      </w:r>
      <w:r w:rsidR="00B93AF2">
        <w:rPr>
          <w:bCs/>
        </w:rPr>
        <w:t xml:space="preserve">also </w:t>
      </w:r>
      <w:r w:rsidR="00742C8F">
        <w:rPr>
          <w:bCs/>
        </w:rPr>
        <w:t xml:space="preserve">be published </w:t>
      </w:r>
      <w:r w:rsidR="00B93AF2">
        <w:rPr>
          <w:bCs/>
        </w:rPr>
        <w:t>in due course.</w:t>
      </w:r>
    </w:p>
    <w:p w14:paraId="63231DE0" w14:textId="4695A9D1" w:rsidR="008822C3" w:rsidRDefault="008822C3" w:rsidP="001D603F">
      <w:pPr>
        <w:pStyle w:val="ListBullet"/>
        <w:numPr>
          <w:ilvl w:val="0"/>
          <w:numId w:val="0"/>
        </w:numPr>
        <w:jc w:val="both"/>
        <w:rPr>
          <w:b/>
          <w:bCs/>
        </w:rPr>
      </w:pPr>
    </w:p>
    <w:p w14:paraId="7A210736" w14:textId="752D3A51" w:rsidR="00556B45" w:rsidRDefault="00556B45" w:rsidP="001D603F">
      <w:pPr>
        <w:pStyle w:val="ListBullet"/>
        <w:numPr>
          <w:ilvl w:val="0"/>
          <w:numId w:val="0"/>
        </w:numPr>
        <w:jc w:val="both"/>
        <w:rPr>
          <w:b/>
          <w:bCs/>
        </w:rPr>
      </w:pPr>
      <w:r>
        <w:rPr>
          <w:b/>
          <w:bCs/>
        </w:rPr>
        <w:t xml:space="preserve">What is the Planning decision process for this </w:t>
      </w:r>
      <w:r w:rsidR="002A00DE">
        <w:rPr>
          <w:b/>
          <w:bCs/>
        </w:rPr>
        <w:t>scheme?</w:t>
      </w:r>
    </w:p>
    <w:p w14:paraId="4E15248E" w14:textId="77777777" w:rsidR="00556B45" w:rsidRPr="0037607F" w:rsidRDefault="00556B45" w:rsidP="001D603F">
      <w:pPr>
        <w:pStyle w:val="ListBullet"/>
        <w:numPr>
          <w:ilvl w:val="0"/>
          <w:numId w:val="0"/>
        </w:numPr>
        <w:jc w:val="both"/>
        <w:rPr>
          <w:bCs/>
        </w:rPr>
      </w:pPr>
      <w:r w:rsidRPr="0037607F">
        <w:rPr>
          <w:bCs/>
        </w:rPr>
        <w:t xml:space="preserve">It is anticipated that this scheme will be implemented under Section 38 of the Road Traffic Act. </w:t>
      </w:r>
    </w:p>
    <w:p w14:paraId="0E920D6C" w14:textId="403C82B4" w:rsidR="00556B45" w:rsidRPr="0037607F" w:rsidRDefault="00556B45" w:rsidP="001D603F">
      <w:pPr>
        <w:pStyle w:val="ListBullet"/>
        <w:numPr>
          <w:ilvl w:val="0"/>
          <w:numId w:val="0"/>
        </w:numPr>
        <w:jc w:val="both"/>
        <w:rPr>
          <w:bCs/>
        </w:rPr>
      </w:pPr>
      <w:r w:rsidRPr="0037607F">
        <w:rPr>
          <w:bCs/>
        </w:rPr>
        <w:t xml:space="preserve">EIA and AA </w:t>
      </w:r>
      <w:r w:rsidR="00C106CA">
        <w:rPr>
          <w:bCs/>
        </w:rPr>
        <w:t>S</w:t>
      </w:r>
      <w:r w:rsidRPr="0037607F">
        <w:rPr>
          <w:bCs/>
        </w:rPr>
        <w:t xml:space="preserve">creening Reports have being completed for </w:t>
      </w:r>
      <w:r w:rsidR="00C106CA">
        <w:rPr>
          <w:bCs/>
        </w:rPr>
        <w:t>the scheme</w:t>
      </w:r>
      <w:r w:rsidRPr="0037607F">
        <w:rPr>
          <w:bCs/>
        </w:rPr>
        <w:t xml:space="preserve"> and a final decision on the proposed planning </w:t>
      </w:r>
      <w:r w:rsidR="00C106CA">
        <w:rPr>
          <w:bCs/>
        </w:rPr>
        <w:t>r</w:t>
      </w:r>
      <w:r w:rsidRPr="0037607F">
        <w:rPr>
          <w:bCs/>
        </w:rPr>
        <w:t>oute will be made by Dublin City Council Planners.</w:t>
      </w:r>
    </w:p>
    <w:p w14:paraId="5C95D3E9" w14:textId="77777777" w:rsidR="00556B45" w:rsidRPr="00556B45" w:rsidRDefault="00556B45" w:rsidP="001D603F">
      <w:pPr>
        <w:pStyle w:val="ListBullet"/>
        <w:numPr>
          <w:ilvl w:val="0"/>
          <w:numId w:val="0"/>
        </w:numPr>
        <w:jc w:val="both"/>
        <w:rPr>
          <w:bCs/>
        </w:rPr>
      </w:pPr>
    </w:p>
    <w:p w14:paraId="4609C228" w14:textId="578088F1" w:rsidR="00540501" w:rsidRDefault="00540501" w:rsidP="00197969">
      <w:pPr>
        <w:pStyle w:val="ListBullet"/>
        <w:numPr>
          <w:ilvl w:val="0"/>
          <w:numId w:val="0"/>
        </w:numPr>
        <w:ind w:left="360" w:hanging="360"/>
        <w:jc w:val="both"/>
        <w:rPr>
          <w:b/>
          <w:bCs/>
        </w:rPr>
      </w:pPr>
      <w:r w:rsidRPr="00B012FB">
        <w:rPr>
          <w:b/>
          <w:bCs/>
        </w:rPr>
        <w:t>Who is funding the Scheme</w:t>
      </w:r>
      <w:r w:rsidR="00AC5D25">
        <w:rPr>
          <w:b/>
          <w:bCs/>
        </w:rPr>
        <w:t>s</w:t>
      </w:r>
      <w:r w:rsidRPr="00B012FB">
        <w:rPr>
          <w:b/>
          <w:bCs/>
        </w:rPr>
        <w:t>?</w:t>
      </w:r>
    </w:p>
    <w:p w14:paraId="4D5732D5" w14:textId="39D862E6" w:rsidR="00615A3B" w:rsidRPr="00615A3B" w:rsidRDefault="00615A3B" w:rsidP="00197969">
      <w:pPr>
        <w:pStyle w:val="ListBullet"/>
        <w:numPr>
          <w:ilvl w:val="0"/>
          <w:numId w:val="0"/>
        </w:numPr>
        <w:ind w:left="360" w:hanging="360"/>
        <w:jc w:val="both"/>
      </w:pPr>
      <w:r w:rsidRPr="00615A3B">
        <w:t>The project is being funded by the National Transport Authority</w:t>
      </w:r>
      <w:r>
        <w:t>.</w:t>
      </w:r>
    </w:p>
    <w:p w14:paraId="38AC1B14" w14:textId="77777777" w:rsidR="00FF0EC1" w:rsidRDefault="00FF0EC1">
      <w:pPr>
        <w:pStyle w:val="ListBullet"/>
        <w:numPr>
          <w:ilvl w:val="0"/>
          <w:numId w:val="0"/>
        </w:numPr>
        <w:jc w:val="both"/>
        <w:rPr>
          <w:b/>
          <w:bCs/>
        </w:rPr>
      </w:pPr>
    </w:p>
    <w:p w14:paraId="39A1AB16" w14:textId="37224489" w:rsidR="000F238A" w:rsidRDefault="000F238A" w:rsidP="000F238A">
      <w:pPr>
        <w:pStyle w:val="ListBullet"/>
        <w:numPr>
          <w:ilvl w:val="0"/>
          <w:numId w:val="0"/>
        </w:numPr>
        <w:ind w:left="360" w:hanging="360"/>
        <w:jc w:val="both"/>
        <w:rPr>
          <w:b/>
          <w:bCs/>
        </w:rPr>
      </w:pPr>
      <w:r w:rsidRPr="00B012FB">
        <w:rPr>
          <w:b/>
          <w:bCs/>
        </w:rPr>
        <w:t>Have Environmental Assessments been carried out?</w:t>
      </w:r>
    </w:p>
    <w:p w14:paraId="0A2D4343" w14:textId="77777777" w:rsidR="000F238A" w:rsidRDefault="000F238A" w:rsidP="000F238A">
      <w:pPr>
        <w:pStyle w:val="ListBullet"/>
        <w:numPr>
          <w:ilvl w:val="0"/>
          <w:numId w:val="0"/>
        </w:numPr>
        <w:jc w:val="both"/>
      </w:pPr>
      <w:r w:rsidRPr="00AD6BC0">
        <w:t>Yes.</w:t>
      </w:r>
      <w:r>
        <w:t xml:space="preserve"> The following  screening assessments have been completed :</w:t>
      </w:r>
    </w:p>
    <w:p w14:paraId="057A13C5" w14:textId="33829B3B" w:rsidR="000F238A" w:rsidRDefault="000F238A" w:rsidP="000F238A">
      <w:pPr>
        <w:pStyle w:val="ListBullet"/>
        <w:numPr>
          <w:ilvl w:val="0"/>
          <w:numId w:val="6"/>
        </w:numPr>
        <w:jc w:val="both"/>
      </w:pPr>
      <w:r>
        <w:t>Environmental Impact Assessment Screening</w:t>
      </w:r>
    </w:p>
    <w:p w14:paraId="37552969" w14:textId="77777777" w:rsidR="000F238A" w:rsidRDefault="000F238A" w:rsidP="000F238A">
      <w:pPr>
        <w:pStyle w:val="ListBullet"/>
        <w:numPr>
          <w:ilvl w:val="0"/>
          <w:numId w:val="6"/>
        </w:numPr>
        <w:jc w:val="both"/>
      </w:pPr>
      <w:r>
        <w:t>Appropriate Assessment Screening</w:t>
      </w:r>
    </w:p>
    <w:p w14:paraId="141C0A5B" w14:textId="50253144" w:rsidR="000F238A" w:rsidRDefault="000F238A" w:rsidP="000F238A">
      <w:pPr>
        <w:pStyle w:val="ListBullet"/>
        <w:numPr>
          <w:ilvl w:val="0"/>
          <w:numId w:val="0"/>
        </w:numPr>
      </w:pPr>
      <w:r>
        <w:t xml:space="preserve">Both screening reports concluded that an Environmental Impact Assessment </w:t>
      </w:r>
      <w:r w:rsidR="00C106CA">
        <w:t>R</w:t>
      </w:r>
      <w:r>
        <w:t xml:space="preserve">eport and Appropriate </w:t>
      </w:r>
      <w:bookmarkStart w:id="0" w:name="_GoBack"/>
      <w:bookmarkEnd w:id="0"/>
      <w:r>
        <w:t>Assessment Report are not required for the scheme</w:t>
      </w:r>
      <w:r w:rsidR="00C106CA">
        <w:t>.</w:t>
      </w:r>
    </w:p>
    <w:p w14:paraId="4F7D921A" w14:textId="5577B294" w:rsidR="002376EC" w:rsidRPr="00B012FB" w:rsidRDefault="002376EC" w:rsidP="0028469D">
      <w:pPr>
        <w:pStyle w:val="ListBullet"/>
        <w:numPr>
          <w:ilvl w:val="0"/>
          <w:numId w:val="0"/>
        </w:numPr>
        <w:jc w:val="both"/>
        <w:rPr>
          <w:b/>
          <w:bCs/>
        </w:rPr>
      </w:pPr>
    </w:p>
    <w:p w14:paraId="49608585" w14:textId="77777777" w:rsidR="0037607F" w:rsidRDefault="0037607F" w:rsidP="0010112A">
      <w:pPr>
        <w:pStyle w:val="ListBullet"/>
        <w:numPr>
          <w:ilvl w:val="0"/>
          <w:numId w:val="0"/>
        </w:numPr>
        <w:rPr>
          <w:b/>
          <w:bCs/>
          <w:color w:val="FF0000"/>
        </w:rPr>
      </w:pPr>
    </w:p>
    <w:p w14:paraId="707C247B" w14:textId="77777777" w:rsidR="0037607F" w:rsidRDefault="0037607F" w:rsidP="0010112A">
      <w:pPr>
        <w:pStyle w:val="ListBullet"/>
        <w:numPr>
          <w:ilvl w:val="0"/>
          <w:numId w:val="0"/>
        </w:numPr>
        <w:rPr>
          <w:b/>
          <w:bCs/>
          <w:color w:val="FF0000"/>
        </w:rPr>
      </w:pPr>
    </w:p>
    <w:p w14:paraId="72E33CD4" w14:textId="77777777" w:rsidR="0037607F" w:rsidRDefault="0037607F" w:rsidP="0010112A">
      <w:pPr>
        <w:pStyle w:val="ListBullet"/>
        <w:numPr>
          <w:ilvl w:val="0"/>
          <w:numId w:val="0"/>
        </w:numPr>
        <w:rPr>
          <w:b/>
          <w:bCs/>
          <w:color w:val="FF0000"/>
        </w:rPr>
      </w:pPr>
    </w:p>
    <w:p w14:paraId="59FC924C" w14:textId="77777777" w:rsidR="0037607F" w:rsidRDefault="0037607F" w:rsidP="0010112A">
      <w:pPr>
        <w:pStyle w:val="ListBullet"/>
        <w:numPr>
          <w:ilvl w:val="0"/>
          <w:numId w:val="0"/>
        </w:numPr>
        <w:rPr>
          <w:b/>
          <w:bCs/>
          <w:color w:val="FF0000"/>
        </w:rPr>
      </w:pPr>
    </w:p>
    <w:p w14:paraId="189CFDC1" w14:textId="77777777" w:rsidR="0037607F" w:rsidRDefault="0037607F" w:rsidP="0010112A">
      <w:pPr>
        <w:pStyle w:val="ListBullet"/>
        <w:numPr>
          <w:ilvl w:val="0"/>
          <w:numId w:val="0"/>
        </w:numPr>
        <w:rPr>
          <w:b/>
          <w:bCs/>
          <w:color w:val="FF0000"/>
        </w:rPr>
      </w:pPr>
    </w:p>
    <w:p w14:paraId="3F50E12A" w14:textId="3DDFCACE" w:rsidR="00DB2CF9" w:rsidRPr="009B1210" w:rsidRDefault="0010112A" w:rsidP="0010112A">
      <w:pPr>
        <w:pStyle w:val="ListBullet"/>
        <w:numPr>
          <w:ilvl w:val="0"/>
          <w:numId w:val="0"/>
        </w:numPr>
        <w:rPr>
          <w:b/>
          <w:bCs/>
        </w:rPr>
      </w:pPr>
      <w:r w:rsidRPr="009B1210">
        <w:rPr>
          <w:b/>
          <w:bCs/>
        </w:rPr>
        <w:t>Are there any trees impacted along the scheme</w:t>
      </w:r>
      <w:r w:rsidR="006B5323" w:rsidRPr="009B1210">
        <w:rPr>
          <w:b/>
          <w:bCs/>
        </w:rPr>
        <w:t>?</w:t>
      </w:r>
    </w:p>
    <w:p w14:paraId="07E9E088" w14:textId="459F4538" w:rsidR="00113D03" w:rsidRPr="008972F3" w:rsidRDefault="00491D28" w:rsidP="008972F3">
      <w:pPr>
        <w:pStyle w:val="ListBullet"/>
        <w:numPr>
          <w:ilvl w:val="0"/>
          <w:numId w:val="0"/>
        </w:numPr>
        <w:jc w:val="both"/>
        <w:rPr>
          <w:bCs/>
        </w:rPr>
      </w:pPr>
      <w:r w:rsidRPr="008972F3">
        <w:rPr>
          <w:bCs/>
        </w:rPr>
        <w:t xml:space="preserve">Native tree species of Birch will replace </w:t>
      </w:r>
      <w:r w:rsidR="00570A80" w:rsidRPr="008972F3">
        <w:rPr>
          <w:bCs/>
        </w:rPr>
        <w:t xml:space="preserve">11no. </w:t>
      </w:r>
      <w:proofErr w:type="gramStart"/>
      <w:r w:rsidR="00A732B7" w:rsidRPr="008972F3">
        <w:rPr>
          <w:bCs/>
        </w:rPr>
        <w:t>e</w:t>
      </w:r>
      <w:r w:rsidR="00314E8F" w:rsidRPr="009B1210">
        <w:rPr>
          <w:bCs/>
        </w:rPr>
        <w:t>xisting</w:t>
      </w:r>
      <w:proofErr w:type="gramEnd"/>
      <w:r w:rsidR="00314E8F" w:rsidRPr="009B1210">
        <w:rPr>
          <w:bCs/>
        </w:rPr>
        <w:t xml:space="preserve"> trees along the northern side of Milltown Road between the South Hill junction and the Dropping Well</w:t>
      </w:r>
      <w:r w:rsidR="00570A80" w:rsidRPr="008972F3">
        <w:rPr>
          <w:bCs/>
        </w:rPr>
        <w:t>.</w:t>
      </w:r>
      <w:r w:rsidR="00314E8F" w:rsidRPr="009B1210">
        <w:rPr>
          <w:bCs/>
        </w:rPr>
        <w:t xml:space="preserve"> </w:t>
      </w:r>
      <w:r w:rsidR="0037607F" w:rsidRPr="009B1210">
        <w:rPr>
          <w:bCs/>
        </w:rPr>
        <w:t xml:space="preserve">The existing </w:t>
      </w:r>
      <w:r w:rsidRPr="008972F3">
        <w:rPr>
          <w:bCs/>
        </w:rPr>
        <w:t>non</w:t>
      </w:r>
      <w:r w:rsidR="000E0DD6" w:rsidRPr="008972F3">
        <w:rPr>
          <w:bCs/>
        </w:rPr>
        <w:t>-</w:t>
      </w:r>
      <w:r w:rsidRPr="008972F3">
        <w:rPr>
          <w:bCs/>
        </w:rPr>
        <w:t xml:space="preserve">native </w:t>
      </w:r>
      <w:r w:rsidR="0037607F" w:rsidRPr="009B1210">
        <w:rPr>
          <w:bCs/>
        </w:rPr>
        <w:t xml:space="preserve">trees have been identified </w:t>
      </w:r>
      <w:r w:rsidR="00570A80" w:rsidRPr="008972F3">
        <w:rPr>
          <w:bCs/>
        </w:rPr>
        <w:t>as</w:t>
      </w:r>
      <w:r w:rsidR="0037607F" w:rsidRPr="009B1210">
        <w:rPr>
          <w:bCs/>
        </w:rPr>
        <w:t xml:space="preserve"> a potential hazard to overhead power lines and are blocking the public lighting in the area.</w:t>
      </w:r>
      <w:r w:rsidR="00570A80" w:rsidRPr="008972F3">
        <w:rPr>
          <w:bCs/>
        </w:rPr>
        <w:t xml:space="preserve"> Birch trees are more suitable for confined spaces, and are identified in the DCC </w:t>
      </w:r>
      <w:r w:rsidR="0037607F" w:rsidRPr="008972F3">
        <w:rPr>
          <w:bCs/>
        </w:rPr>
        <w:t xml:space="preserve">Tree </w:t>
      </w:r>
      <w:r w:rsidR="000E0DD6" w:rsidRPr="008972F3">
        <w:rPr>
          <w:bCs/>
        </w:rPr>
        <w:t>P</w:t>
      </w:r>
      <w:r w:rsidR="0037607F" w:rsidRPr="008972F3">
        <w:rPr>
          <w:bCs/>
        </w:rPr>
        <w:t xml:space="preserve">olicy and Biodiversity </w:t>
      </w:r>
      <w:r w:rsidR="000E0DD6" w:rsidRPr="008972F3">
        <w:rPr>
          <w:bCs/>
        </w:rPr>
        <w:t>A</w:t>
      </w:r>
      <w:r w:rsidR="0037607F" w:rsidRPr="008972F3">
        <w:rPr>
          <w:bCs/>
        </w:rPr>
        <w:t xml:space="preserve">ction </w:t>
      </w:r>
      <w:r w:rsidR="000E0DD6" w:rsidRPr="008972F3">
        <w:rPr>
          <w:bCs/>
        </w:rPr>
        <w:t>P</w:t>
      </w:r>
      <w:r w:rsidR="0037607F" w:rsidRPr="008972F3">
        <w:rPr>
          <w:bCs/>
        </w:rPr>
        <w:t>lan</w:t>
      </w:r>
      <w:r w:rsidR="00570A80" w:rsidRPr="008972F3">
        <w:rPr>
          <w:bCs/>
        </w:rPr>
        <w:t xml:space="preserve"> </w:t>
      </w:r>
      <w:r w:rsidR="0037607F" w:rsidRPr="008972F3">
        <w:rPr>
          <w:bCs/>
        </w:rPr>
        <w:t>to replace existing non-native species</w:t>
      </w:r>
      <w:r w:rsidR="00570A80" w:rsidRPr="008972F3">
        <w:rPr>
          <w:bCs/>
        </w:rPr>
        <w:t xml:space="preserve">. </w:t>
      </w:r>
      <w:r w:rsidR="00113D03" w:rsidRPr="008972F3">
        <w:rPr>
          <w:bCs/>
        </w:rPr>
        <w:t xml:space="preserve">These species </w:t>
      </w:r>
      <w:r w:rsidR="0037607F" w:rsidRPr="008972F3">
        <w:rPr>
          <w:bCs/>
        </w:rPr>
        <w:t xml:space="preserve">provide opportunities </w:t>
      </w:r>
      <w:proofErr w:type="gramStart"/>
      <w:r w:rsidR="0037607F" w:rsidRPr="008972F3">
        <w:rPr>
          <w:bCs/>
        </w:rPr>
        <w:t>for</w:t>
      </w:r>
      <w:proofErr w:type="gramEnd"/>
      <w:r w:rsidR="0037607F" w:rsidRPr="008972F3">
        <w:rPr>
          <w:bCs/>
        </w:rPr>
        <w:t xml:space="preserve"> biodiversity net gain </w:t>
      </w:r>
      <w:r w:rsidR="00113D03" w:rsidRPr="008972F3">
        <w:rPr>
          <w:bCs/>
        </w:rPr>
        <w:t>and</w:t>
      </w:r>
      <w:r w:rsidR="0037607F" w:rsidRPr="008972F3">
        <w:rPr>
          <w:bCs/>
        </w:rPr>
        <w:t xml:space="preserve"> support </w:t>
      </w:r>
      <w:r w:rsidR="00854D0E" w:rsidRPr="008972F3">
        <w:rPr>
          <w:bCs/>
        </w:rPr>
        <w:t xml:space="preserve">wildlife habitat </w:t>
      </w:r>
      <w:r w:rsidR="0037607F" w:rsidRPr="008972F3">
        <w:rPr>
          <w:bCs/>
        </w:rPr>
        <w:t xml:space="preserve">corridors in urban environments. </w:t>
      </w:r>
    </w:p>
    <w:p w14:paraId="1FC1AE00" w14:textId="3269FBDE" w:rsidR="00113D03" w:rsidRPr="008972F3" w:rsidRDefault="00113D03" w:rsidP="008972F3">
      <w:pPr>
        <w:pStyle w:val="ListBullet"/>
        <w:numPr>
          <w:ilvl w:val="0"/>
          <w:numId w:val="0"/>
        </w:numPr>
        <w:jc w:val="both"/>
        <w:rPr>
          <w:bCs/>
        </w:rPr>
      </w:pPr>
      <w:r w:rsidRPr="008972F3">
        <w:rPr>
          <w:bCs/>
        </w:rPr>
        <w:t xml:space="preserve">All planted trees shall be planted in designed tree pits that </w:t>
      </w:r>
      <w:r w:rsidRPr="008972F3">
        <w:rPr>
          <w:bCs/>
        </w:rPr>
        <w:lastRenderedPageBreak/>
        <w:t>shall ensure tree root migration does not create future hazards on adjacent pedestrian and cycle paths.</w:t>
      </w:r>
    </w:p>
    <w:p w14:paraId="518D06BE" w14:textId="2A72F2A5" w:rsidR="006E7B62" w:rsidRPr="00B012FB" w:rsidRDefault="006E7B62" w:rsidP="00377448">
      <w:pPr>
        <w:pStyle w:val="ListBullet"/>
        <w:numPr>
          <w:ilvl w:val="0"/>
          <w:numId w:val="0"/>
        </w:numPr>
        <w:jc w:val="both"/>
        <w:rPr>
          <w:b/>
          <w:bCs/>
        </w:rPr>
      </w:pPr>
    </w:p>
    <w:p w14:paraId="17B19161" w14:textId="77777777" w:rsidR="00113D03" w:rsidRDefault="00113D03">
      <w:pPr>
        <w:pStyle w:val="ListBullet"/>
        <w:numPr>
          <w:ilvl w:val="0"/>
          <w:numId w:val="0"/>
        </w:numPr>
        <w:jc w:val="both"/>
      </w:pPr>
    </w:p>
    <w:p w14:paraId="03C9424B" w14:textId="77777777" w:rsidR="00C71FD2" w:rsidRPr="001A6103" w:rsidRDefault="00C71FD2" w:rsidP="00C71FD2">
      <w:pPr>
        <w:pStyle w:val="ListBullet"/>
        <w:numPr>
          <w:ilvl w:val="0"/>
          <w:numId w:val="0"/>
        </w:numPr>
        <w:ind w:left="360" w:hanging="360"/>
        <w:jc w:val="both"/>
        <w:rPr>
          <w:b/>
          <w:bCs/>
        </w:rPr>
      </w:pPr>
      <w:r w:rsidRPr="001A6103">
        <w:rPr>
          <w:b/>
          <w:bCs/>
        </w:rPr>
        <w:t>How will the Schemes interact with other projects under construction or planned?</w:t>
      </w:r>
    </w:p>
    <w:p w14:paraId="74372D14" w14:textId="7CE1382F" w:rsidR="00C71FD2" w:rsidRDefault="00C71FD2" w:rsidP="00C71FD2">
      <w:pPr>
        <w:pStyle w:val="ListBullet"/>
        <w:numPr>
          <w:ilvl w:val="0"/>
          <w:numId w:val="0"/>
        </w:numPr>
        <w:jc w:val="both"/>
      </w:pPr>
      <w:r w:rsidRPr="001A6103">
        <w:t xml:space="preserve">The schemes have been designed with planned or committed projects in mind to ensure there are no conflicts between proposals. Notable adjacent projects include River Dodder Flood Alleviation Scheme and </w:t>
      </w:r>
      <w:proofErr w:type="spellStart"/>
      <w:r w:rsidRPr="001A6103">
        <w:t>BusConnects</w:t>
      </w:r>
      <w:proofErr w:type="spellEnd"/>
      <w:r w:rsidRPr="001A6103">
        <w:t xml:space="preserve"> Dublin.</w:t>
      </w:r>
    </w:p>
    <w:p w14:paraId="23B17E01" w14:textId="4640DA19" w:rsidR="005C5810" w:rsidRDefault="005C5810" w:rsidP="00E77CBC">
      <w:pPr>
        <w:pStyle w:val="ListBullet"/>
        <w:numPr>
          <w:ilvl w:val="0"/>
          <w:numId w:val="0"/>
        </w:numPr>
        <w:rPr>
          <w:bCs/>
          <w:color w:val="FF0000"/>
        </w:rPr>
      </w:pPr>
    </w:p>
    <w:p w14:paraId="425710FB" w14:textId="1C905F1B" w:rsidR="00FE40C3" w:rsidRPr="008972F3" w:rsidRDefault="00445B5A" w:rsidP="00E77CBC">
      <w:pPr>
        <w:pStyle w:val="ListBullet"/>
        <w:numPr>
          <w:ilvl w:val="0"/>
          <w:numId w:val="0"/>
        </w:numPr>
        <w:rPr>
          <w:b/>
          <w:bCs/>
        </w:rPr>
      </w:pPr>
      <w:r w:rsidRPr="008972F3">
        <w:rPr>
          <w:b/>
          <w:bCs/>
        </w:rPr>
        <w:t>D</w:t>
      </w:r>
      <w:r w:rsidR="00AA7106" w:rsidRPr="008972F3">
        <w:rPr>
          <w:b/>
          <w:bCs/>
        </w:rPr>
        <w:t>o</w:t>
      </w:r>
      <w:r w:rsidR="001D2485" w:rsidRPr="008972F3">
        <w:rPr>
          <w:b/>
          <w:bCs/>
        </w:rPr>
        <w:t xml:space="preserve"> the gradients </w:t>
      </w:r>
      <w:r w:rsidRPr="008972F3">
        <w:rPr>
          <w:b/>
          <w:bCs/>
        </w:rPr>
        <w:t>on Milltown Road</w:t>
      </w:r>
      <w:r w:rsidR="001D2485" w:rsidRPr="008972F3">
        <w:rPr>
          <w:b/>
          <w:bCs/>
        </w:rPr>
        <w:t xml:space="preserve"> </w:t>
      </w:r>
      <w:r w:rsidR="00AA7106" w:rsidRPr="008972F3">
        <w:rPr>
          <w:b/>
          <w:bCs/>
        </w:rPr>
        <w:t>meet the National Cycle Manual Standards of 5%</w:t>
      </w:r>
      <w:r w:rsidR="001D2485" w:rsidRPr="008972F3">
        <w:rPr>
          <w:b/>
          <w:bCs/>
        </w:rPr>
        <w:t>?</w:t>
      </w:r>
    </w:p>
    <w:p w14:paraId="46978A18" w14:textId="37EF49EB" w:rsidR="00FE40C3" w:rsidRPr="008972F3" w:rsidRDefault="00B70946" w:rsidP="00E77CBC">
      <w:pPr>
        <w:pStyle w:val="ListBullet"/>
        <w:numPr>
          <w:ilvl w:val="0"/>
          <w:numId w:val="0"/>
        </w:numPr>
        <w:rPr>
          <w:bCs/>
        </w:rPr>
      </w:pPr>
      <w:r w:rsidRPr="008972F3">
        <w:rPr>
          <w:bCs/>
        </w:rPr>
        <w:t>Gradients between South Hill and Dropping Well vary</w:t>
      </w:r>
      <w:r w:rsidR="00570A80">
        <w:rPr>
          <w:bCs/>
        </w:rPr>
        <w:t xml:space="preserve"> between</w:t>
      </w:r>
      <w:r w:rsidRPr="008972F3">
        <w:rPr>
          <w:bCs/>
        </w:rPr>
        <w:t xml:space="preserve"> 4% and 6%.  The feasibility of maintaining the Cycle Design Manual </w:t>
      </w:r>
      <w:r w:rsidR="009B1210" w:rsidRPr="00B70946">
        <w:rPr>
          <w:bCs/>
        </w:rPr>
        <w:t>standards will</w:t>
      </w:r>
      <w:r w:rsidRPr="008972F3">
        <w:rPr>
          <w:bCs/>
        </w:rPr>
        <w:t xml:space="preserve"> be investigated during the detailed design process</w:t>
      </w:r>
      <w:r w:rsidR="00570A80">
        <w:rPr>
          <w:bCs/>
        </w:rPr>
        <w:t>.</w:t>
      </w:r>
    </w:p>
    <w:p w14:paraId="5D331DF1" w14:textId="0D1086FA" w:rsidR="00AA7106" w:rsidRDefault="00AA7106" w:rsidP="00E77CBC">
      <w:pPr>
        <w:pStyle w:val="ListBullet"/>
        <w:numPr>
          <w:ilvl w:val="0"/>
          <w:numId w:val="0"/>
        </w:numPr>
        <w:rPr>
          <w:b/>
          <w:bCs/>
          <w:color w:val="FF0000"/>
        </w:rPr>
      </w:pPr>
    </w:p>
    <w:p w14:paraId="4E16E69B" w14:textId="71F3941C" w:rsidR="00AA7106" w:rsidRPr="008972F3" w:rsidRDefault="00AA7106" w:rsidP="00E77CBC">
      <w:pPr>
        <w:pStyle w:val="ListBullet"/>
        <w:numPr>
          <w:ilvl w:val="0"/>
          <w:numId w:val="0"/>
        </w:numPr>
        <w:rPr>
          <w:b/>
          <w:bCs/>
        </w:rPr>
      </w:pPr>
      <w:r w:rsidRPr="008972F3">
        <w:rPr>
          <w:b/>
          <w:bCs/>
        </w:rPr>
        <w:t xml:space="preserve">Are there any plans to extend the </w:t>
      </w:r>
      <w:r w:rsidR="00570A80">
        <w:rPr>
          <w:b/>
          <w:bCs/>
        </w:rPr>
        <w:t>s</w:t>
      </w:r>
      <w:r w:rsidRPr="008972F3">
        <w:rPr>
          <w:b/>
          <w:bCs/>
        </w:rPr>
        <w:t xml:space="preserve">cheme further along Milltown Road to </w:t>
      </w:r>
      <w:proofErr w:type="spellStart"/>
      <w:r w:rsidRPr="008972F3">
        <w:rPr>
          <w:b/>
          <w:bCs/>
        </w:rPr>
        <w:t>Sandford</w:t>
      </w:r>
      <w:proofErr w:type="spellEnd"/>
      <w:r w:rsidRPr="008972F3">
        <w:rPr>
          <w:b/>
          <w:bCs/>
        </w:rPr>
        <w:t xml:space="preserve"> Road</w:t>
      </w:r>
      <w:r w:rsidR="00326669">
        <w:rPr>
          <w:b/>
          <w:bCs/>
        </w:rPr>
        <w:t>?</w:t>
      </w:r>
    </w:p>
    <w:p w14:paraId="7E172E34" w14:textId="187C4AAC" w:rsidR="00AA7106" w:rsidRPr="008972F3" w:rsidRDefault="00B70946" w:rsidP="00E77CBC">
      <w:pPr>
        <w:pStyle w:val="ListBullet"/>
        <w:numPr>
          <w:ilvl w:val="0"/>
          <w:numId w:val="0"/>
        </w:numPr>
        <w:rPr>
          <w:bCs/>
        </w:rPr>
      </w:pPr>
      <w:r w:rsidRPr="008972F3">
        <w:rPr>
          <w:bCs/>
        </w:rPr>
        <w:t>Currently the scheme extends from Dodder Walk to Dundrum Road</w:t>
      </w:r>
      <w:r w:rsidR="00326669">
        <w:rPr>
          <w:bCs/>
        </w:rPr>
        <w:t xml:space="preserve"> which </w:t>
      </w:r>
      <w:r w:rsidR="00326669" w:rsidRPr="006A285E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will facilitate a continuous route along the Dodder corridor in advance of the Dodder Greenway project.</w:t>
      </w:r>
    </w:p>
    <w:p w14:paraId="75EF32A4" w14:textId="5227F783" w:rsidR="00AA7106" w:rsidRPr="008972F3" w:rsidRDefault="00326669" w:rsidP="00E77CBC">
      <w:pPr>
        <w:pStyle w:val="ListBullet"/>
        <w:numPr>
          <w:ilvl w:val="0"/>
          <w:numId w:val="0"/>
        </w:numPr>
        <w:rPr>
          <w:bCs/>
        </w:rPr>
      </w:pPr>
      <w:r w:rsidRPr="008972F3">
        <w:rPr>
          <w:bCs/>
        </w:rPr>
        <w:t xml:space="preserve">The remaining section of the Milltown Road is a secondary route on the NTA Greater Dublin Area Cycle Network Plan and will be implemented in the future. </w:t>
      </w:r>
      <w:r w:rsidR="00570A80">
        <w:rPr>
          <w:bCs/>
        </w:rPr>
        <w:t xml:space="preserve">The scheme will also connect with the proposed </w:t>
      </w:r>
      <w:proofErr w:type="spellStart"/>
      <w:r w:rsidR="00570A80">
        <w:rPr>
          <w:bCs/>
        </w:rPr>
        <w:t>Rathmines</w:t>
      </w:r>
      <w:proofErr w:type="spellEnd"/>
      <w:r w:rsidR="00570A80">
        <w:rPr>
          <w:bCs/>
        </w:rPr>
        <w:t xml:space="preserve"> to Milltown active travel route.</w:t>
      </w:r>
    </w:p>
    <w:p w14:paraId="7F12E83E" w14:textId="48EF6701" w:rsidR="00AA7106" w:rsidRDefault="00AA7106" w:rsidP="00E77CBC">
      <w:pPr>
        <w:pStyle w:val="ListBullet"/>
        <w:numPr>
          <w:ilvl w:val="0"/>
          <w:numId w:val="0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14:paraId="1E036B60" w14:textId="77777777" w:rsidR="001D2485" w:rsidRDefault="001D2485" w:rsidP="00E77CBC">
      <w:pPr>
        <w:pStyle w:val="ListBullet"/>
        <w:numPr>
          <w:ilvl w:val="0"/>
          <w:numId w:val="0"/>
        </w:numPr>
        <w:rPr>
          <w:b/>
          <w:bCs/>
          <w:color w:val="FF0000"/>
        </w:rPr>
      </w:pPr>
    </w:p>
    <w:p w14:paraId="67BD6E84" w14:textId="77777777" w:rsidR="001D2485" w:rsidRDefault="001D2485" w:rsidP="00E77CBC">
      <w:pPr>
        <w:pStyle w:val="ListBullet"/>
        <w:numPr>
          <w:ilvl w:val="0"/>
          <w:numId w:val="0"/>
        </w:numPr>
        <w:rPr>
          <w:b/>
          <w:bCs/>
          <w:color w:val="FF0000"/>
        </w:rPr>
      </w:pPr>
    </w:p>
    <w:p w14:paraId="51B9E74D" w14:textId="63EB4C43" w:rsidR="006527A2" w:rsidRDefault="006527A2" w:rsidP="00E77CBC">
      <w:pPr>
        <w:pStyle w:val="ListBullet"/>
        <w:numPr>
          <w:ilvl w:val="0"/>
          <w:numId w:val="0"/>
        </w:numPr>
        <w:rPr>
          <w:bCs/>
        </w:rPr>
      </w:pPr>
    </w:p>
    <w:p w14:paraId="6DAAF754" w14:textId="26429BF4" w:rsidR="006527A2" w:rsidRDefault="006527A2" w:rsidP="00E77CBC">
      <w:pPr>
        <w:pStyle w:val="ListBullet"/>
        <w:numPr>
          <w:ilvl w:val="0"/>
          <w:numId w:val="0"/>
        </w:numPr>
        <w:rPr>
          <w:bCs/>
        </w:rPr>
      </w:pPr>
    </w:p>
    <w:p w14:paraId="6A9E466C" w14:textId="77777777" w:rsidR="00E77CBC" w:rsidRDefault="00E77CBC" w:rsidP="00197969">
      <w:pPr>
        <w:pStyle w:val="ListBullet"/>
        <w:numPr>
          <w:ilvl w:val="0"/>
          <w:numId w:val="0"/>
        </w:numPr>
        <w:ind w:left="360" w:hanging="360"/>
        <w:jc w:val="both"/>
        <w:rPr>
          <w:bCs/>
        </w:rPr>
      </w:pPr>
    </w:p>
    <w:sectPr w:rsidR="00E7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B78E7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EA54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66A2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3C0492"/>
    <w:multiLevelType w:val="multilevel"/>
    <w:tmpl w:val="E72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86638"/>
    <w:multiLevelType w:val="hybridMultilevel"/>
    <w:tmpl w:val="5BB0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1306"/>
    <w:multiLevelType w:val="hybridMultilevel"/>
    <w:tmpl w:val="11CE7A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395FC8"/>
    <w:multiLevelType w:val="multilevel"/>
    <w:tmpl w:val="7B8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01"/>
    <w:rsid w:val="00000D61"/>
    <w:rsid w:val="00003DB8"/>
    <w:rsid w:val="000044BB"/>
    <w:rsid w:val="00006253"/>
    <w:rsid w:val="00006C93"/>
    <w:rsid w:val="0001305A"/>
    <w:rsid w:val="00017FFD"/>
    <w:rsid w:val="000214BE"/>
    <w:rsid w:val="000268BE"/>
    <w:rsid w:val="00045571"/>
    <w:rsid w:val="000504A8"/>
    <w:rsid w:val="00055253"/>
    <w:rsid w:val="00056EE9"/>
    <w:rsid w:val="00060CCE"/>
    <w:rsid w:val="000610A7"/>
    <w:rsid w:val="0006754D"/>
    <w:rsid w:val="00086AF3"/>
    <w:rsid w:val="00096BC1"/>
    <w:rsid w:val="000E0DD6"/>
    <w:rsid w:val="000F031D"/>
    <w:rsid w:val="000F238A"/>
    <w:rsid w:val="000F280F"/>
    <w:rsid w:val="0010112A"/>
    <w:rsid w:val="00110295"/>
    <w:rsid w:val="00113D03"/>
    <w:rsid w:val="00115940"/>
    <w:rsid w:val="00116589"/>
    <w:rsid w:val="00141488"/>
    <w:rsid w:val="001430C8"/>
    <w:rsid w:val="00143893"/>
    <w:rsid w:val="00146D43"/>
    <w:rsid w:val="001503A6"/>
    <w:rsid w:val="0015208B"/>
    <w:rsid w:val="00154BCF"/>
    <w:rsid w:val="00164EF7"/>
    <w:rsid w:val="00172BF7"/>
    <w:rsid w:val="0017553D"/>
    <w:rsid w:val="00181607"/>
    <w:rsid w:val="00190F3E"/>
    <w:rsid w:val="00197969"/>
    <w:rsid w:val="001A6103"/>
    <w:rsid w:val="001C231A"/>
    <w:rsid w:val="001D2485"/>
    <w:rsid w:val="001D603F"/>
    <w:rsid w:val="001D7699"/>
    <w:rsid w:val="001E4D59"/>
    <w:rsid w:val="001F22D4"/>
    <w:rsid w:val="00217B82"/>
    <w:rsid w:val="002212E7"/>
    <w:rsid w:val="002376EC"/>
    <w:rsid w:val="0024691D"/>
    <w:rsid w:val="0026476F"/>
    <w:rsid w:val="00276C8F"/>
    <w:rsid w:val="002777E4"/>
    <w:rsid w:val="00281FAC"/>
    <w:rsid w:val="0028469D"/>
    <w:rsid w:val="00291BCD"/>
    <w:rsid w:val="00293FD1"/>
    <w:rsid w:val="002A00DE"/>
    <w:rsid w:val="002A7698"/>
    <w:rsid w:val="002B087B"/>
    <w:rsid w:val="002E6ACF"/>
    <w:rsid w:val="00303AE1"/>
    <w:rsid w:val="003107A8"/>
    <w:rsid w:val="00314E8F"/>
    <w:rsid w:val="00321090"/>
    <w:rsid w:val="00326669"/>
    <w:rsid w:val="00335EAD"/>
    <w:rsid w:val="003714EC"/>
    <w:rsid w:val="0037607F"/>
    <w:rsid w:val="00377448"/>
    <w:rsid w:val="00380DEE"/>
    <w:rsid w:val="00383B11"/>
    <w:rsid w:val="003867CE"/>
    <w:rsid w:val="003A03EB"/>
    <w:rsid w:val="003A58C4"/>
    <w:rsid w:val="003C5468"/>
    <w:rsid w:val="003D21C3"/>
    <w:rsid w:val="003D327A"/>
    <w:rsid w:val="003D3A07"/>
    <w:rsid w:val="003D6F34"/>
    <w:rsid w:val="003F27AB"/>
    <w:rsid w:val="00411F66"/>
    <w:rsid w:val="004224A9"/>
    <w:rsid w:val="004242DA"/>
    <w:rsid w:val="0042709D"/>
    <w:rsid w:val="0042711D"/>
    <w:rsid w:val="00427340"/>
    <w:rsid w:val="004317F2"/>
    <w:rsid w:val="00440BBE"/>
    <w:rsid w:val="00445B5A"/>
    <w:rsid w:val="00450C85"/>
    <w:rsid w:val="00451C86"/>
    <w:rsid w:val="00461BF1"/>
    <w:rsid w:val="0046509B"/>
    <w:rsid w:val="004828BC"/>
    <w:rsid w:val="0048316B"/>
    <w:rsid w:val="004869BB"/>
    <w:rsid w:val="00487763"/>
    <w:rsid w:val="00491D28"/>
    <w:rsid w:val="0049507B"/>
    <w:rsid w:val="004A04CA"/>
    <w:rsid w:val="004A3209"/>
    <w:rsid w:val="004A4F19"/>
    <w:rsid w:val="004B613E"/>
    <w:rsid w:val="004D1F32"/>
    <w:rsid w:val="004E71D2"/>
    <w:rsid w:val="004F1413"/>
    <w:rsid w:val="005042DE"/>
    <w:rsid w:val="005054A0"/>
    <w:rsid w:val="00511616"/>
    <w:rsid w:val="00532B51"/>
    <w:rsid w:val="00540501"/>
    <w:rsid w:val="00556B45"/>
    <w:rsid w:val="0056665A"/>
    <w:rsid w:val="00570A80"/>
    <w:rsid w:val="005803BA"/>
    <w:rsid w:val="005821FA"/>
    <w:rsid w:val="00587E72"/>
    <w:rsid w:val="00593C76"/>
    <w:rsid w:val="005B1FD2"/>
    <w:rsid w:val="005B4A78"/>
    <w:rsid w:val="005C1CD5"/>
    <w:rsid w:val="005C4C5B"/>
    <w:rsid w:val="005C5810"/>
    <w:rsid w:val="005D12C4"/>
    <w:rsid w:val="005E7AAB"/>
    <w:rsid w:val="005F6D82"/>
    <w:rsid w:val="00615A3B"/>
    <w:rsid w:val="00631BDA"/>
    <w:rsid w:val="006331BE"/>
    <w:rsid w:val="00646E0F"/>
    <w:rsid w:val="006527A2"/>
    <w:rsid w:val="00681C6F"/>
    <w:rsid w:val="00683596"/>
    <w:rsid w:val="006B36C5"/>
    <w:rsid w:val="006B5323"/>
    <w:rsid w:val="006B5BEE"/>
    <w:rsid w:val="006B5FD1"/>
    <w:rsid w:val="006C3C1E"/>
    <w:rsid w:val="006C5D5C"/>
    <w:rsid w:val="006E7B62"/>
    <w:rsid w:val="00702B93"/>
    <w:rsid w:val="00716936"/>
    <w:rsid w:val="00742431"/>
    <w:rsid w:val="00742C8F"/>
    <w:rsid w:val="00755BFA"/>
    <w:rsid w:val="00766574"/>
    <w:rsid w:val="0078030A"/>
    <w:rsid w:val="00780514"/>
    <w:rsid w:val="007927F6"/>
    <w:rsid w:val="007934E6"/>
    <w:rsid w:val="007968B7"/>
    <w:rsid w:val="007C1843"/>
    <w:rsid w:val="007C49C6"/>
    <w:rsid w:val="007D36C8"/>
    <w:rsid w:val="007D6B5F"/>
    <w:rsid w:val="007E3E35"/>
    <w:rsid w:val="007E461B"/>
    <w:rsid w:val="00802168"/>
    <w:rsid w:val="0080342A"/>
    <w:rsid w:val="00817275"/>
    <w:rsid w:val="008334FE"/>
    <w:rsid w:val="00834CD6"/>
    <w:rsid w:val="00837FC2"/>
    <w:rsid w:val="008466C1"/>
    <w:rsid w:val="008471D0"/>
    <w:rsid w:val="00854D0E"/>
    <w:rsid w:val="00870C62"/>
    <w:rsid w:val="008811C7"/>
    <w:rsid w:val="008822C3"/>
    <w:rsid w:val="00891D51"/>
    <w:rsid w:val="008972F3"/>
    <w:rsid w:val="008A19A0"/>
    <w:rsid w:val="008B5319"/>
    <w:rsid w:val="008C2251"/>
    <w:rsid w:val="008E5BFB"/>
    <w:rsid w:val="008E6015"/>
    <w:rsid w:val="008E6F97"/>
    <w:rsid w:val="008F748A"/>
    <w:rsid w:val="00914BE7"/>
    <w:rsid w:val="00926957"/>
    <w:rsid w:val="009401A9"/>
    <w:rsid w:val="0094674E"/>
    <w:rsid w:val="0095403B"/>
    <w:rsid w:val="009740B3"/>
    <w:rsid w:val="00993671"/>
    <w:rsid w:val="009A028E"/>
    <w:rsid w:val="009B1210"/>
    <w:rsid w:val="009B65EF"/>
    <w:rsid w:val="009B74E4"/>
    <w:rsid w:val="009C06FB"/>
    <w:rsid w:val="009D6947"/>
    <w:rsid w:val="009E0F4F"/>
    <w:rsid w:val="009E3FBC"/>
    <w:rsid w:val="009E7C5C"/>
    <w:rsid w:val="00A239F1"/>
    <w:rsid w:val="00A44301"/>
    <w:rsid w:val="00A732B7"/>
    <w:rsid w:val="00A83B22"/>
    <w:rsid w:val="00A94B98"/>
    <w:rsid w:val="00AA7106"/>
    <w:rsid w:val="00AB2C94"/>
    <w:rsid w:val="00AC5D25"/>
    <w:rsid w:val="00AD6BC0"/>
    <w:rsid w:val="00AF0F36"/>
    <w:rsid w:val="00AF77C7"/>
    <w:rsid w:val="00B012FB"/>
    <w:rsid w:val="00B07853"/>
    <w:rsid w:val="00B31234"/>
    <w:rsid w:val="00B54075"/>
    <w:rsid w:val="00B610F7"/>
    <w:rsid w:val="00B70946"/>
    <w:rsid w:val="00B74629"/>
    <w:rsid w:val="00B93AF2"/>
    <w:rsid w:val="00BA611E"/>
    <w:rsid w:val="00BA693B"/>
    <w:rsid w:val="00BB7D8A"/>
    <w:rsid w:val="00BC438E"/>
    <w:rsid w:val="00BD6B39"/>
    <w:rsid w:val="00BE5715"/>
    <w:rsid w:val="00BF31DA"/>
    <w:rsid w:val="00C07503"/>
    <w:rsid w:val="00C106CA"/>
    <w:rsid w:val="00C300F2"/>
    <w:rsid w:val="00C34A7A"/>
    <w:rsid w:val="00C50012"/>
    <w:rsid w:val="00C6651A"/>
    <w:rsid w:val="00C717F3"/>
    <w:rsid w:val="00C71FD2"/>
    <w:rsid w:val="00C72D16"/>
    <w:rsid w:val="00C746B3"/>
    <w:rsid w:val="00C94815"/>
    <w:rsid w:val="00CA0208"/>
    <w:rsid w:val="00CB6946"/>
    <w:rsid w:val="00CD6526"/>
    <w:rsid w:val="00CE4A94"/>
    <w:rsid w:val="00CE7CA6"/>
    <w:rsid w:val="00D20062"/>
    <w:rsid w:val="00D4756D"/>
    <w:rsid w:val="00D52B49"/>
    <w:rsid w:val="00D55F2B"/>
    <w:rsid w:val="00D61B5F"/>
    <w:rsid w:val="00D63755"/>
    <w:rsid w:val="00D81287"/>
    <w:rsid w:val="00D820BE"/>
    <w:rsid w:val="00DB03E4"/>
    <w:rsid w:val="00DB2CF9"/>
    <w:rsid w:val="00DC5F8A"/>
    <w:rsid w:val="00DC66F3"/>
    <w:rsid w:val="00DE4B6F"/>
    <w:rsid w:val="00E22696"/>
    <w:rsid w:val="00E315BD"/>
    <w:rsid w:val="00E34C30"/>
    <w:rsid w:val="00E41C26"/>
    <w:rsid w:val="00E74F49"/>
    <w:rsid w:val="00E77CBC"/>
    <w:rsid w:val="00E808E2"/>
    <w:rsid w:val="00E85B00"/>
    <w:rsid w:val="00E87874"/>
    <w:rsid w:val="00EC016E"/>
    <w:rsid w:val="00ED43EF"/>
    <w:rsid w:val="00F20004"/>
    <w:rsid w:val="00F26ACD"/>
    <w:rsid w:val="00F4319C"/>
    <w:rsid w:val="00F546B1"/>
    <w:rsid w:val="00F564D2"/>
    <w:rsid w:val="00F57274"/>
    <w:rsid w:val="00F72001"/>
    <w:rsid w:val="00F73FEE"/>
    <w:rsid w:val="00F96917"/>
    <w:rsid w:val="00F97748"/>
    <w:rsid w:val="00FA27C1"/>
    <w:rsid w:val="00FA5C16"/>
    <w:rsid w:val="00FC4CDB"/>
    <w:rsid w:val="00FD61B6"/>
    <w:rsid w:val="00FD7782"/>
    <w:rsid w:val="00FE0E94"/>
    <w:rsid w:val="00FE40BE"/>
    <w:rsid w:val="00FE40C3"/>
    <w:rsid w:val="00FE4F3F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0563"/>
  <w15:chartTrackingRefBased/>
  <w15:docId w15:val="{B6425D3F-E6BC-4B54-BAA4-E969C12C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4050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54050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540501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B65E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305A"/>
    <w:pPr>
      <w:spacing w:after="0" w:line="240" w:lineRule="auto"/>
    </w:pPr>
  </w:style>
  <w:style w:type="character" w:customStyle="1" w:styleId="ui-provider">
    <w:name w:val="ui-provider"/>
    <w:basedOn w:val="DefaultParagraphFont"/>
    <w:rsid w:val="00096BC1"/>
  </w:style>
  <w:style w:type="paragraph" w:styleId="BalloonText">
    <w:name w:val="Balloon Text"/>
    <w:basedOn w:val="Normal"/>
    <w:link w:val="BalloonTextChar"/>
    <w:uiPriority w:val="99"/>
    <w:semiHidden/>
    <w:unhideWhenUsed/>
    <w:rsid w:val="00E2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9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0342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2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blincity.ie/active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tion.dublincity.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F8AA-3941-4702-964B-008174E6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Andrew</dc:creator>
  <cp:keywords/>
  <dc:description/>
  <cp:lastModifiedBy>Nirmal Kumar Athikavil Giri</cp:lastModifiedBy>
  <cp:revision>5</cp:revision>
  <dcterms:created xsi:type="dcterms:W3CDTF">2024-02-02T09:24:00Z</dcterms:created>
  <dcterms:modified xsi:type="dcterms:W3CDTF">2024-02-06T10:21:00Z</dcterms:modified>
</cp:coreProperties>
</file>